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600"/>
      </w:pPr>
    </w:p>
    <w:p>
      <w:pPr>
        <w:jc w:val="center"/>
      </w:pPr>
      <w:r>
        <w:rPr>
          <w:rFonts w:ascii="Arial" w:cs="Arial" w:eastAsia="Arial" w:hAnsi="Arial"/>
          <w:b/>
          <w:bCs/>
          <w:color w:val="1F4E79"/>
          <w:sz w:val="72"/>
          <w:szCs w:val="72"/>
        </w:rPr>
        <w:t xml:space="preserve">ANVIL</w:t>
      </w:r>
    </w:p>
    <w:p>
      <w:pPr>
        <w:spacing w:after="400"/>
        <w:jc w:val="center"/>
      </w:pPr>
      <w:r>
        <w:rPr>
          <w:rFonts w:ascii="Arial" w:cs="Arial" w:eastAsia="Arial" w:hAnsi="Arial"/>
          <w:i/>
          <w:iCs/>
          <w:color w:val="2E75B6"/>
          <w:sz w:val="32"/>
          <w:szCs w:val="32"/>
        </w:rPr>
        <w:t xml:space="preserve">Forging Clean Embedded Projects</w:t>
      </w:r>
    </w:p>
    <w:p>
      <w:pPr>
        <w:pBdr>
          <w:bottom w:val="single" w:color="2E75B6" w:sz="6" w:space="8"/>
        </w:pBdr>
        <w:spacing w:before="200" w:after="200"/>
      </w:pPr>
    </w:p>
    <w:p>
      <w:pPr>
        <w:spacing w:after="80"/>
        <w:jc w:val="center"/>
      </w:pPr>
      <w:r>
        <w:rPr>
          <w:rFonts w:ascii="Arial" w:cs="Arial" w:eastAsia="Arial" w:hAnsi="Arial"/>
          <w:color w:val="595959"/>
          <w:sz w:val="28"/>
          <w:szCs w:val="28"/>
        </w:rPr>
        <w:t xml:space="preserve">Test Strategy</w:t>
      </w:r>
    </w:p>
    <w:p>
      <w:pPr>
        <w:spacing w:before="1200"/>
      </w:pPr>
    </w:p>
    <w:p>
      <w:pPr>
        <w:jc w:val="center"/>
      </w:pPr>
      <w:r>
        <w:rPr>
          <w:rFonts w:ascii="Arial" w:cs="Arial" w:eastAsia="Arial" w:hAnsi="Arial"/>
          <w:color w:val="595959"/>
          <w:sz w:val="24"/>
          <w:szCs w:val="24"/>
        </w:rPr>
        <w:t xml:space="preserve">Prepared by Eric Ratliff</w:t>
      </w:r>
    </w:p>
    <w:p>
      <w:pPr>
        <w:jc w:val="center"/>
      </w:pPr>
      <w:r>
        <w:rPr>
          <w:rFonts w:ascii="Arial" w:cs="Arial" w:eastAsia="Arial" w:hAnsi="Arial"/>
          <w:color w:val="A6A6A6"/>
          <w:sz w:val="22"/>
          <w:szCs w:val="22"/>
        </w:rPr>
        <w:t xml:space="preserve">Intrepid Fusion LLC / Nexus Workshops</w:t>
      </w:r>
    </w:p>
    <w:p>
      <w:pPr>
        <w:spacing w:before="200"/>
        <w:jc w:val="center"/>
      </w:pPr>
      <w:r>
        <w:rPr>
          <w:rFonts w:ascii="Arial" w:cs="Arial" w:eastAsia="Arial" w:hAnsi="Arial"/>
          <w:color w:val="A6A6A6"/>
          <w:sz w:val="22"/>
          <w:szCs w:val="22"/>
        </w:rPr>
        <w:t xml:space="preserve">February 2026</w:t>
      </w:r>
    </w:p>
    <w:p>
      <w:pPr>
        <w:sectPr>
          <w:pgSz w:w="12240" w:h="15840" w:orient="portrait"/>
          <w:pgMar w:top="1440" w:right="1440" w:bottom="1440" w:left="1440" w:header="708" w:footer="708" w:gutter="0"/>
          <w:pgNumType/>
          <w:docGrid w:linePitch="360"/>
        </w:sectPr>
      </w:pPr>
    </w:p>
    <w:p>
      <w:pPr>
        <w:pStyle w:val="Heading1"/>
      </w:pPr>
      <w:r>
        <w:t xml:space="preserve">Purpose</w:t>
      </w:r>
    </w:p>
    <w:p>
      <w:pPr>
        <w:spacing w:after="160" w:line="276"/>
      </w:pPr>
      <w:r>
        <w:rPr>
          <w:rFonts w:ascii="Arial" w:cs="Arial" w:eastAsia="Arial" w:hAnsi="Arial"/>
          <w:color w:val="595959"/>
          <w:sz w:val="22"/>
          <w:szCs w:val="22"/>
        </w:rPr>
        <w:t xml:space="preserve">This document describes the testing philosophy, approach, and structure for the Anvil project. It explains why the test suite is designed the way it is, what each category of test validates, and how the tests trace to requirements. It does not restate individual test cases -- the 593 automated tests are self-documenting through descriptive names. Instead, it explains the strategy behind them.</w:t>
      </w:r>
    </w:p>
    <w:p>
      <w:pPr>
        <w:pStyle w:val="Heading1"/>
      </w:pPr>
      <w:r>
        <w:t xml:space="preserve">Testing Philosophy</w:t>
      </w:r>
    </w:p>
    <w:p>
      <w:pPr>
        <w:spacing w:after="160" w:line="276"/>
      </w:pPr>
      <w:r>
        <w:rPr>
          <w:rFonts w:ascii="Arial" w:cs="Arial" w:eastAsia="Arial" w:hAnsi="Arial"/>
          <w:color w:val="595959"/>
          <w:sz w:val="22"/>
          <w:szCs w:val="22"/>
        </w:rPr>
        <w:t xml:space="preserve">Anvil's test suite follows three principles:</w:t>
      </w:r>
    </w:p>
    <w:p>
      <w:pPr>
        <w:pStyle w:val="Heading2"/>
      </w:pPr>
      <w:r>
        <w:t xml:space="preserve">Test the Contract, Not the Implementation</w:t>
      </w:r>
    </w:p>
    <w:p>
      <w:pPr>
        <w:spacing w:after="160" w:line="276"/>
      </w:pPr>
      <w:r>
        <w:rPr>
          <w:rFonts w:ascii="Arial" w:cs="Arial" w:eastAsia="Arial" w:hAnsi="Arial"/>
          <w:color w:val="595959"/>
          <w:sz w:val="22"/>
          <w:szCs w:val="22"/>
        </w:rPr>
        <w:t xml:space="preserve">Every test asserts on observable behavior: the files produced, the content within those files, the configuration state after an operation, or the error message returned. No test inspects internal data structures, private methods, or intermediate state. This means refactoring the implementation (changing how refresh discovers files, for example) does not break tests as long as the output remains correct.</w:t>
      </w:r>
    </w:p>
    <w:p>
      <w:pPr>
        <w:pStyle w:val="Heading2"/>
      </w:pPr>
      <w:r>
        <w:t xml:space="preserve">Test at the Boundary Where Bugs Hide</w:t>
      </w:r>
    </w:p>
    <w:p>
      <w:pPr>
        <w:spacing w:after="160" w:line="276"/>
      </w:pPr>
      <w:r>
        <w:rPr>
          <w:rFonts w:ascii="Arial" w:cs="Arial" w:eastAsia="Arial" w:hAnsi="Arial"/>
          <w:color w:val="595959"/>
          <w:sz w:val="22"/>
          <w:szCs w:val="22"/>
        </w:rPr>
        <w:t xml:space="preserve">The most dangerous bugs in a code generator are not logic errors -- they are content errors. A missing include, a wrong method name in a template, a path separator that breaks on Windows. The test suite focuses heavily on content validation: checking that generated C++ files reference valid API methods, that scripts parse TOML correctly, that pin assignments use real pin numbers for the target board. These are the bugs that students would encounter at 9 PM with no way to diagnose them.</w:t>
      </w:r>
    </w:p>
    <w:p>
      <w:pPr>
        <w:pStyle w:val="Heading2"/>
      </w:pPr>
      <w:r>
        <w:t xml:space="preserve">Test Full Lifecycles, Not Just Single Operations</w:t>
      </w:r>
    </w:p>
    <w:p>
      <w:pPr>
        <w:spacing w:after="160" w:line="276"/>
      </w:pPr>
      <w:r>
        <w:rPr>
          <w:rFonts w:ascii="Arial" w:cs="Arial" w:eastAsia="Arial" w:hAnsi="Arial"/>
          <w:color w:val="595959"/>
          <w:sz w:val="22"/>
          <w:szCs w:val="22"/>
        </w:rPr>
        <w:t xml:space="preserve">Many bugs only appear in sequences: create a project, modify files, refresh, modify more, refresh again. The suite includes lifecycle tests that simulate an entire semester of student activity -- 13 weeks of creating, writing, refreshing, protecting, and resetting files. These tests catch state accumulation bugs that single-operation tests miss.</w:t>
      </w:r>
    </w:p>
    <w:p>
      <w:pPr>
        <w:pStyle w:val="Heading1"/>
      </w:pPr>
      <w:r>
        <w:t xml:space="preserve">Test Architecture</w:t>
      </w:r>
    </w:p>
    <w:p>
      <w:pPr>
        <w:pStyle w:val="Heading2"/>
      </w:pPr>
      <w:r>
        <w:t xml:space="preserve">Why include_dir! Over Filesystem Fixtures</w:t>
      </w:r>
    </w:p>
    <w:p>
      <w:pPr>
        <w:spacing w:after="160" w:line="276"/>
      </w:pPr>
      <w:r>
        <w:rPr>
          <w:rFonts w:ascii="Arial" w:cs="Arial" w:eastAsia="Arial" w:hAnsi="Arial"/>
          <w:color w:val="595959"/>
          <w:sz w:val="22"/>
          <w:szCs w:val="22"/>
        </w:rPr>
        <w:t xml:space="preserve">Templates and libraries are embedded in the binary via include_dir!. Tests call the same extraction functions the CLI uses, operating on tempdir directories. This means tests exercise the real code path, not a mock of it. There are no fixture directories to keep in sync, no test data files that can drift from the actual templates. When a template file changes, every test that extracts that template automatically picks up the change.</w:t>
      </w:r>
    </w:p>
    <w:p>
      <w:pPr>
        <w:pStyle w:val="Heading2"/>
      </w:pPr>
      <w:r>
        <w:t xml:space="preserve">Unit vs. Integration Split</w:t>
      </w:r>
    </w:p>
    <w:p>
      <w:pPr>
        <w:spacing w:after="160" w:line="276"/>
      </w:pPr>
      <w:r>
        <w:rPr>
          <w:rFonts w:ascii="Arial" w:cs="Arial" w:eastAsia="Arial" w:hAnsi="Arial"/>
          <w:color w:val="595959"/>
          <w:sz w:val="22"/>
          <w:szCs w:val="22"/>
        </w:rPr>
        <w:t xml:space="preserve">The 126 unit tests (in src/ modules) validate pure functions: glob pattern matching, TOML parsing, pin validation logic, name validation, board preset lookup. These run in microseconds with no filesystem access.</w:t>
      </w:r>
    </w:p>
    <w:p>
      <w:pPr>
        <w:spacing w:after="160" w:line="276"/>
      </w:pPr>
      <w:r>
        <w:rPr>
          <w:rFonts w:ascii="Arial" w:cs="Arial" w:eastAsia="Arial" w:hAnsi="Arial"/>
          <w:color w:val="595959"/>
          <w:sz w:val="22"/>
          <w:szCs w:val="22"/>
        </w:rPr>
        <w:t xml:space="preserve">The 467 integration tests (in tests/) validate end-to-end behavior: extract a template, inspect the files, modify them, run refresh, check the results. Each test creates a fresh tempdir, operates on real files, and asserts on real content. This split means unit tests catch logic bugs instantly while integration tests catch content and interaction bugs thoroughly.</w:t>
      </w:r>
    </w:p>
    <w:p>
      <w:pPr>
        <w:pStyle w:val="Heading1"/>
      </w:pPr>
      <w:r>
        <w:t xml:space="preserve">Test Suite Categories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800"/>
        <w:gridCol w:w="4200"/>
        <w:gridCol w:w="1960"/>
      </w:tblGrid>
      <w:tr>
        <w:tc>
          <w:tcPr>
            <w:tcW w:type="dxa" w:w="2400"/>
            <w:tcBorders>
              <w:top w:val="single" w:color="CCCCCC" w:sz="1"/>
              <w:left w:val="single" w:color="CCCCCC" w:sz="1"/>
              <w:bottom w:val="single" w:color="CCCCCC" w:sz="1"/>
              <w:right w:val="single" w:color="CCCCCC" w:sz="1"/>
            </w:tcBorders>
            <w:shd w:fill="1F4E79" w:val="clear"/>
            <w:tcMar>
              <w:top w:type="dxa" w:w="60"/>
              <w:left w:type="dxa" w:w="100"/>
              <w:bottom w:type="dxa" w:w="60"/>
              <w:right w:type="dxa" w:w="100"/>
            </w:tcMar>
          </w:tcPr>
          <w:p>
            <w:pPr>
              <w:spacing w:after="0"/>
            </w:pPr>
            <w:r>
              <w:rPr>
                <w:rFonts w:ascii="Arial" w:cs="Arial" w:eastAsia="Arial" w:hAnsi="Arial"/>
                <w:b/>
                <w:bCs/>
                <w:color w:val="FFFFFF"/>
                <w:sz w:val="20"/>
                <w:szCs w:val="20"/>
              </w:rPr>
              <w:t xml:space="preserve">Test File</w:t>
            </w:r>
          </w:p>
        </w:tc>
        <w:tc>
          <w:tcPr>
            <w:tcW w:type="dxa" w:w="800"/>
            <w:tcBorders>
              <w:top w:val="single" w:color="CCCCCC" w:sz="1"/>
              <w:left w:val="single" w:color="CCCCCC" w:sz="1"/>
              <w:bottom w:val="single" w:color="CCCCCC" w:sz="1"/>
              <w:right w:val="single" w:color="CCCCCC" w:sz="1"/>
            </w:tcBorders>
            <w:shd w:fill="1F4E79" w:val="clear"/>
            <w:tcMar>
              <w:top w:type="dxa" w:w="60"/>
              <w:left w:type="dxa" w:w="100"/>
              <w:bottom w:type="dxa" w:w="60"/>
              <w:right w:type="dxa" w:w="100"/>
            </w:tcMar>
          </w:tcPr>
          <w:p>
            <w:pPr>
              <w:spacing w:after="0"/>
            </w:pPr>
            <w:r>
              <w:rPr>
                <w:rFonts w:ascii="Arial" w:cs="Arial" w:eastAsia="Arial" w:hAnsi="Arial"/>
                <w:b/>
                <w:bCs/>
                <w:color w:val="FFFFFF"/>
                <w:sz w:val="20"/>
                <w:szCs w:val="20"/>
              </w:rPr>
              <w:t xml:space="preserve">Count</w:t>
            </w:r>
          </w:p>
        </w:tc>
        <w:tc>
          <w:tcPr>
            <w:tcW w:type="dxa" w:w="4200"/>
            <w:tcBorders>
              <w:top w:val="single" w:color="CCCCCC" w:sz="1"/>
              <w:left w:val="single" w:color="CCCCCC" w:sz="1"/>
              <w:bottom w:val="single" w:color="CCCCCC" w:sz="1"/>
              <w:right w:val="single" w:color="CCCCCC" w:sz="1"/>
            </w:tcBorders>
            <w:shd w:fill="1F4E79" w:val="clear"/>
            <w:tcMar>
              <w:top w:type="dxa" w:w="60"/>
              <w:left w:type="dxa" w:w="100"/>
              <w:bottom w:type="dxa" w:w="60"/>
              <w:right w:type="dxa" w:w="100"/>
            </w:tcMar>
          </w:tcPr>
          <w:p>
            <w:pPr>
              <w:spacing w:after="0"/>
            </w:pPr>
            <w:r>
              <w:rPr>
                <w:rFonts w:ascii="Arial" w:cs="Arial" w:eastAsia="Arial" w:hAnsi="Arial"/>
                <w:b/>
                <w:bCs/>
                <w:color w:val="FFFFFF"/>
                <w:sz w:val="20"/>
                <w:szCs w:val="20"/>
              </w:rPr>
              <w:t xml:space="preserve">What It Validates</w:t>
            </w:r>
          </w:p>
        </w:tc>
        <w:tc>
          <w:tcPr>
            <w:tcW w:type="dxa" w:w="1960"/>
            <w:tcBorders>
              <w:top w:val="single" w:color="CCCCCC" w:sz="1"/>
              <w:left w:val="single" w:color="CCCCCC" w:sz="1"/>
              <w:bottom w:val="single" w:color="CCCCCC" w:sz="1"/>
              <w:right w:val="single" w:color="CCCCCC" w:sz="1"/>
            </w:tcBorders>
            <w:shd w:fill="1F4E79" w:val="clear"/>
            <w:tcMar>
              <w:top w:type="dxa" w:w="60"/>
              <w:left w:type="dxa" w:w="100"/>
              <w:bottom w:type="dxa" w:w="60"/>
              <w:right w:type="dxa" w:w="100"/>
            </w:tcMar>
          </w:tcPr>
          <w:p>
            <w:pPr>
              <w:spacing w:after="0"/>
            </w:pPr>
            <w:r>
              <w:rPr>
                <w:rFonts w:ascii="Arial" w:cs="Arial" w:eastAsia="Arial" w:hAnsi="Arial"/>
                <w:b/>
                <w:bCs/>
                <w:color w:val="FFFFFF"/>
                <w:sz w:val="20"/>
                <w:szCs w:val="20"/>
              </w:rPr>
              <w:t xml:space="preserve">Key Reqs</w:t>
            </w:r>
          </w:p>
        </w:tc>
      </w:tr>
      <w:tr>
        <w:tc>
          <w:tcPr>
            <w:tcW w:type="dxa" w:w="2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test_templates.rs</w:t>
            </w:r>
          </w:p>
        </w:tc>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18</w:t>
            </w:r>
          </w:p>
        </w:tc>
        <w:tc>
          <w:tcPr>
            <w:tcW w:type="dxa" w:w="4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Base template extraction: correct files produced, sketch directory, HAL files, app header, test infrastructure, CMake references, .gitignore, README, config validity, variable substitution, full project structure, ASCII compliance.</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SYS-001, SWR-001.1 - 001.6</w:t>
            </w:r>
          </w:p>
        </w:tc>
      </w:tr>
      <w:tr>
        <w:tc>
          <w:tcPr>
            <w:tcW w:type="dxa" w:w="2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test_config.rs</w:t>
            </w:r>
          </w:p>
        </w:tc>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27</w:t>
            </w:r>
          </w:p>
        </w:tc>
        <w:tc>
          <w:tcPr>
            <w:tcW w:type="dxa" w:w="4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Configuration round-trips, board presets, multi-board migration, default board setting, TOML template structure, script TOML parsing (both .sh and .bat), board flag acceptance.</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SYS-007, SYS-009, SWR-007.1 - 007.4, SWR-009.1 - 009.3</w:t>
            </w:r>
          </w:p>
        </w:tc>
      </w:tr>
      <w:tr>
        <w:tc>
          <w:tcPr>
            <w:tcW w:type="dxa" w:w="2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test_scripts.rs</w:t>
            </w:r>
          </w:p>
        </w:tc>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28</w:t>
            </w:r>
          </w:p>
        </w:tc>
        <w:tc>
          <w:tcPr>
            <w:tcW w:type="dxa" w:w="4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Script content validation: self-contained (no anvil binary refs), TOML reading, shebangs, .anvil.local port reading, VID:PID detection, board flag support, error messages with install commands, monitor timestamps, compiler flags.</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SYS-002, SYS-010, SWR-002.1 - 002.4, SWR-010.3, SWR-011.1</w:t>
            </w:r>
          </w:p>
        </w:tc>
      </w:tr>
      <w:tr>
        <w:tc>
          <w:tcPr>
            <w:tcW w:type="dxa" w:w="2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test_pins.rs</w:t>
            </w:r>
          </w:p>
        </w:tc>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60</w:t>
            </w:r>
          </w:p>
        </w:tc>
        <w:tc>
          <w:tcPr>
            <w:tcW w:type="dxa" w:w="4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Pin assignment validation, board pin maps (all 5 boards), capability filtering, alias resolution, mode validation, bus protocols (I2C, SPI), pin header generation, per-board independence, audit functionality, multi-bus round-trips.</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SYS-006, SWR-006.1 - 006.6</w:t>
            </w:r>
          </w:p>
        </w:tc>
      </w:tr>
      <w:tr>
        <w:tc>
          <w:tcPr>
            <w:tcW w:type="dxa" w:w="2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test_library.rs</w:t>
            </w:r>
          </w:p>
        </w:tc>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26</w:t>
            </w:r>
          </w:p>
        </w:tc>
        <w:tc>
          <w:tcPr>
            <w:tcW w:type="dxa" w:w="4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Library registry, extraction, file content validation, install/remove/re-add idempotency, CMake autodiscovery, interface polymorphism, mock/sim availability, pin role metadata, wiring audit integration.</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SYS-005, SWR-005.1 - 005.5</w:t>
            </w:r>
          </w:p>
        </w:tc>
      </w:tr>
      <w:tr>
        <w:tc>
          <w:tcPr>
            <w:tcW w:type="dxa" w:w="2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test_mock_arduino.rs</w:t>
            </w:r>
          </w:p>
        </w:tc>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6</w:t>
            </w:r>
          </w:p>
        </w:tc>
        <w:tc>
          <w:tcPr>
            <w:tcW w:type="dxa" w:w="4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Arduino mock environment: core API surface (pinMode, digitalWrite, etc.), shim files (Serial, Wire, String), ASCII compliance, CMake linkage, SimHal presence in system test template.</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SYS-004, SWR-004.1 - 004.2</w:t>
            </w:r>
          </w:p>
        </w:tc>
      </w:tr>
      <w:tr>
        <w:tc>
          <w:tcPr>
            <w:tcW w:type="dxa" w:w="2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test_template_weather.rs</w:t>
            </w:r>
          </w:p>
        </w:tc>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57</w:t>
            </w:r>
          </w:p>
        </w:tc>
        <w:tc>
          <w:tcPr>
            <w:tcW w:type="dxa" w:w="4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Weather template: composed metadata, overlay behavior, library installation, pin assignment, managed vs. student test file distinction, C++ API compatibility (sensor method calls validate against actual headers), .anvilignore generation, refresh behavior.</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SYS-001, SYS-005, SYS-008, SWR-001.2 - 001.3, SWR-004.3 - 004.4</w:t>
            </w:r>
          </w:p>
        </w:tc>
      </w:tr>
      <w:tr>
        <w:tc>
          <w:tcPr>
            <w:tcW w:type="dxa" w:w="2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test_refresh.rs</w:t>
            </w:r>
          </w:p>
        </w:tc>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80</w:t>
            </w:r>
          </w:p>
        </w:tc>
        <w:tc>
          <w:tcPr>
            <w:tcW w:type="dxa" w:w="4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Refresh engine: tamper detection, force restore, .anvilignore protection (exact + glob), --file override, lifecycle scenarios (ignore/modify/force/unignore), pattern management (add/remove/idempotent), missing file recreation, multi-category simultaneous modifications, semester lifecycle.</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SYS-008, SWR-008.1 - 008.9</w:t>
            </w:r>
          </w:p>
        </w:tc>
      </w:tr>
      <w:tr>
        <w:tc>
          <w:tcPr>
            <w:tcW w:type="dxa" w:w="2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Unit tests (src/)</w:t>
            </w:r>
          </w:p>
        </w:tc>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126</w:t>
            </w:r>
          </w:p>
        </w:tc>
        <w:tc>
          <w:tcPr>
            <w:tcW w:type="dxa" w:w="4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Glob matching (exact, *, ?, **, nested paths, backslash normalization), TOML parse/write, name validation, pin validation, board presets, library metadata, template metadata.</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All SWRs with pure logic</w:t>
            </w:r>
          </w:p>
        </w:tc>
      </w:tr>
      <w:tr>
        <w:tc>
          <w:tcPr>
            <w:tcW w:type="dxa" w:w="24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bCs/>
                <w:color w:val="595959"/>
                <w:sz w:val="20"/>
                <w:szCs w:val="20"/>
              </w:rPr>
              <w:t xml:space="preserve">integration_test.rs</w:t>
            </w:r>
          </w:p>
        </w:tc>
        <w:tc>
          <w:tcPr>
            <w:tcW w:type="dxa" w:w="8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165</w:t>
            </w:r>
          </w:p>
        </w:tc>
        <w:tc>
          <w:tcPr>
            <w:tcW w:type="dxa" w:w="420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Legacy comprehensive tests covering template extraction, config management, scripts, board presets, and refresh. Overlaps with dedicated test files but provides an additional cross-cutting verification layer.</w:t>
            </w:r>
          </w:p>
        </w:tc>
        <w:tc>
          <w:tcPr>
            <w:tcW w:type="dxa" w:w="1960"/>
            <w:tcBorders>
              <w:top w:val="single" w:color="CCCCCC" w:sz="1"/>
              <w:left w:val="single" w:color="CCCCCC" w:sz="1"/>
              <w:bottom w:val="single" w:color="CCCCCC" w:sz="1"/>
              <w:right w:val="single" w:color="CCCCCC" w:sz="1"/>
            </w:tcBorders>
            <w:tcMar>
              <w:top w:type="dxa" w:w="60"/>
              <w:left w:type="dxa" w:w="100"/>
              <w:bottom w:type="dxa" w:w="60"/>
              <w:right w:type="dxa" w:w="100"/>
            </w:tcMar>
          </w:tcPr>
          <w:p>
            <w:pPr>
              <w:spacing w:after="0"/>
            </w:pPr>
            <w:r>
              <w:rPr>
                <w:rFonts w:ascii="Arial" w:cs="Arial" w:eastAsia="Arial" w:hAnsi="Arial"/>
                <w:b w:val="false"/>
                <w:bCs w:val="false"/>
                <w:color w:val="595959"/>
                <w:sz w:val="20"/>
                <w:szCs w:val="20"/>
              </w:rPr>
              <w:t xml:space="preserve">Cross-cutting</w:t>
            </w:r>
          </w:p>
        </w:tc>
      </w:tr>
    </w:tbl>
    <w:p>
      <w:pPr>
        <w:spacing w:before="200"/>
      </w:pPr>
    </w:p>
    <w:p>
      <w:pPr>
        <w:pStyle w:val="Heading1"/>
      </w:pPr>
      <w:r>
        <w:t xml:space="preserve">Notable Test Patterns</w:t>
      </w:r>
    </w:p>
    <w:p>
      <w:pPr>
        <w:pStyle w:val="Heading2"/>
      </w:pPr>
      <w:r>
        <w:t xml:space="preserve">C++ API Compatibility Tests</w:t>
      </w:r>
    </w:p>
    <w:p>
      <w:pPr>
        <w:spacing w:after="160" w:line="276"/>
      </w:pPr>
      <w:r>
        <w:rPr>
          <w:rFonts w:ascii="Arial" w:cs="Arial" w:eastAsia="Arial" w:hAnsi="Arial"/>
          <w:color w:val="595959"/>
          <w:sz w:val="22"/>
          <w:szCs w:val="22"/>
        </w:rPr>
        <w:t xml:space="preserve">test_template_weather_tests_use_valid_sensor_api scans the generated test_weather.cpp for every sensor.method() call, extracts the method name, and verifies it exists in the union of tmp36_mock.h and tmp36_sim.h public methods. This catches template/library API drift at Rust test time, not when the student tries to compile their C++ tests. Similarly, test_template_sim_constructor_arg_count verifies that every Tmp36Sim() constructor call in template code uses the correct number of arguments.</w:t>
      </w:r>
    </w:p>
    <w:p>
      <w:pPr>
        <w:pStyle w:val="Heading2"/>
      </w:pPr>
      <w:r>
        <w:t xml:space="preserve">Full Semester Lifecycle Test</w:t>
      </w:r>
    </w:p>
    <w:p>
      <w:pPr>
        <w:spacing w:after="160" w:line="276"/>
      </w:pPr>
      <w:r>
        <w:rPr>
          <w:rFonts w:ascii="Arial" w:cs="Arial" w:eastAsia="Arial" w:hAnsi="Arial"/>
          <w:color w:val="595959"/>
          <w:sz w:val="22"/>
          <w:szCs w:val="22"/>
        </w:rPr>
        <w:t xml:space="preserve">test_full_semester_lifecycle simulates 13 weeks of student activity in a single test: project creation, writing custom tests, first Anvil upgrade with refresh, protecting custom helper files, recovering accidentally deleted scripts, resetting a single file with --file, adding glob protections, and finally removing all protections for end-of-term grading. This test exercises nearly every refresh code path in a realistic sequence.</w:t>
      </w:r>
    </w:p>
    <w:p>
      <w:pPr>
        <w:pStyle w:val="Heading2"/>
      </w:pPr>
      <w:r>
        <w:t xml:space="preserve">Simultaneous Modification Test</w:t>
      </w:r>
    </w:p>
    <w:p>
      <w:pPr>
        <w:spacing w:after="160" w:line="276"/>
      </w:pPr>
      <w:r>
        <w:rPr>
          <w:rFonts w:ascii="Arial" w:cs="Arial" w:eastAsia="Arial" w:hAnsi="Arial"/>
          <w:color w:val="595959"/>
          <w:sz w:val="22"/>
          <w:szCs w:val="22"/>
        </w:rPr>
        <w:t xml:space="preserve">test_simultaneous_modifications_across_categories tampers with 11 files across 7 different categories (managed scripts, mock headers, HAL, template tests, library headers, ignored student files, ignored app code) in a single project, then runs one refresh --force and verifies that every managed file is restored and every ignored file survives. This catches category-interaction bugs.</w:t>
      </w:r>
    </w:p>
    <w:p>
      <w:pPr>
        <w:pStyle w:val="Heading2"/>
      </w:pPr>
      <w:r>
        <w:t xml:space="preserve">Glob Pattern Layering Tests</w:t>
      </w:r>
    </w:p>
    <w:p>
      <w:pPr>
        <w:spacing w:after="160" w:line="276"/>
      </w:pPr>
      <w:r>
        <w:rPr>
          <w:rFonts w:ascii="Arial" w:cs="Arial" w:eastAsia="Arial" w:hAnsi="Arial"/>
          <w:color w:val="595959"/>
          <w:sz w:val="22"/>
          <w:szCs w:val="22"/>
        </w:rPr>
        <w:t xml:space="preserve">Multiple tests verify the interaction between exact patterns and glob patterns: a file matched by both an exact pattern and a glob retains protection when the exact pattern is removed (the glob still covers it). Overlapping globs are removed one at a time. The --file flag punches through glob protection for exactly one file without affecting others covered by the same glob.</w:t>
      </w:r>
    </w:p>
    <w:p>
      <w:pPr>
        <w:pStyle w:val="Heading2"/>
      </w:pPr>
      <w:r>
        <w:t xml:space="preserve">Idempotency Tests</w:t>
      </w:r>
    </w:p>
    <w:p>
      <w:pPr>
        <w:spacing w:after="160" w:line="276"/>
      </w:pPr>
      <w:r>
        <w:rPr>
          <w:rFonts w:ascii="Arial" w:cs="Arial" w:eastAsia="Arial" w:hAnsi="Arial"/>
          <w:color w:val="595959"/>
          <w:sz w:val="22"/>
          <w:szCs w:val="22"/>
        </w:rPr>
        <w:t xml:space="preserve">test_repeated_force_refreshes_idempotent runs three cycles of tamper-then-force and verifies that managed files are always restored to identical content and ignored files always survive. test_add_ignore_truly_idempotent_with_refresh adds the same pattern three times and verifies only one line appears in .anvilignore. test_force_on_clean_project_is_noop verifies that refreshing an untouched project produces byte-identical files.</w:t>
      </w:r>
    </w:p>
    <w:p>
      <w:pPr>
        <w:pStyle w:val="Heading1"/>
      </w:pPr>
      <w:r>
        <w:t xml:space="preserve">Test Metrics</w:t>
      </w:r>
    </w:p>
    <w:p>
      <w:pPr>
        <w:pStyle w:val="ListParagraph"/>
        <w:numPr>
          <w:ilvl w:val="0"/>
          <w:numId w:val="2"/>
        </w:numPr>
        <w:spacing w:after="80" w:line="276"/>
      </w:pPr>
      <w:r>
        <w:rPr>
          <w:rFonts w:ascii="Arial" w:cs="Arial" w:eastAsia="Arial" w:hAnsi="Arial"/>
          <w:b/>
          <w:bCs/>
          <w:color w:val="595959"/>
          <w:sz w:val="22"/>
          <w:szCs w:val="22"/>
        </w:rPr>
        <w:t xml:space="preserve">Total tests: </w:t>
      </w:r>
      <w:r>
        <w:rPr>
          <w:rFonts w:ascii="Arial" w:cs="Arial" w:eastAsia="Arial" w:hAnsi="Arial"/>
          <w:color w:val="595959"/>
          <w:sz w:val="22"/>
          <w:szCs w:val="22"/>
        </w:rPr>
        <w:t xml:space="preserve">593 (126 unit + 467 integration)</w:t>
      </w:r>
    </w:p>
    <w:p>
      <w:pPr>
        <w:pStyle w:val="ListParagraph"/>
        <w:numPr>
          <w:ilvl w:val="0"/>
          <w:numId w:val="2"/>
        </w:numPr>
        <w:spacing w:after="80" w:line="276"/>
      </w:pPr>
      <w:r>
        <w:rPr>
          <w:rFonts w:ascii="Arial" w:cs="Arial" w:eastAsia="Arial" w:hAnsi="Arial"/>
          <w:b/>
          <w:bCs/>
          <w:color w:val="595959"/>
          <w:sz w:val="22"/>
          <w:szCs w:val="22"/>
        </w:rPr>
        <w:t xml:space="preserve">Test-to-source ratio: </w:t>
      </w:r>
      <w:r>
        <w:rPr>
          <w:rFonts w:ascii="Arial" w:cs="Arial" w:eastAsia="Arial" w:hAnsi="Arial"/>
          <w:color w:val="595959"/>
          <w:sz w:val="22"/>
          <w:szCs w:val="22"/>
        </w:rPr>
        <w:t xml:space="preserve">1.25:1 (11,435 test lines / 9,167 source lines)</w:t>
      </w:r>
    </w:p>
    <w:p>
      <w:pPr>
        <w:pStyle w:val="ListParagraph"/>
        <w:numPr>
          <w:ilvl w:val="0"/>
          <w:numId w:val="2"/>
        </w:numPr>
        <w:spacing w:after="80" w:line="276"/>
      </w:pPr>
      <w:r>
        <w:rPr>
          <w:rFonts w:ascii="Arial" w:cs="Arial" w:eastAsia="Arial" w:hAnsi="Arial"/>
          <w:b/>
          <w:bCs/>
          <w:color w:val="595959"/>
          <w:sz w:val="22"/>
          <w:szCs w:val="22"/>
        </w:rPr>
        <w:t xml:space="preserve">Execution time: </w:t>
      </w:r>
      <w:r>
        <w:rPr>
          <w:rFonts w:ascii="Arial" w:cs="Arial" w:eastAsia="Arial" w:hAnsi="Arial"/>
          <w:color w:val="595959"/>
          <w:sz w:val="22"/>
          <w:szCs w:val="22"/>
        </w:rPr>
        <w:t xml:space="preserve">~4 seconds on Windows MSVC, ~3 seconds on Linux</w:t>
      </w:r>
    </w:p>
    <w:p>
      <w:pPr>
        <w:pStyle w:val="ListParagraph"/>
        <w:numPr>
          <w:ilvl w:val="0"/>
          <w:numId w:val="2"/>
        </w:numPr>
        <w:spacing w:after="80" w:line="276"/>
      </w:pPr>
      <w:r>
        <w:rPr>
          <w:rFonts w:ascii="Arial" w:cs="Arial" w:eastAsia="Arial" w:hAnsi="Arial"/>
          <w:b/>
          <w:bCs/>
          <w:color w:val="595959"/>
          <w:sz w:val="22"/>
          <w:szCs w:val="22"/>
        </w:rPr>
        <w:t xml:space="preserve">Platform coverage: </w:t>
      </w:r>
      <w:r>
        <w:rPr>
          <w:rFonts w:ascii="Arial" w:cs="Arial" w:eastAsia="Arial" w:hAnsi="Arial"/>
          <w:color w:val="595959"/>
          <w:sz w:val="22"/>
          <w:szCs w:val="22"/>
        </w:rPr>
        <w:t xml:space="preserve">All tests pass on both Windows MSVC and Linux without platform-specific skips</w:t>
      </w:r>
    </w:p>
    <w:p>
      <w:pPr>
        <w:pStyle w:val="ListParagraph"/>
        <w:numPr>
          <w:ilvl w:val="0"/>
          <w:numId w:val="2"/>
        </w:numPr>
        <w:spacing w:after="80" w:line="276"/>
      </w:pPr>
      <w:r>
        <w:rPr>
          <w:rFonts w:ascii="Arial" w:cs="Arial" w:eastAsia="Arial" w:hAnsi="Arial"/>
          <w:b/>
          <w:bCs/>
          <w:color w:val="595959"/>
          <w:sz w:val="22"/>
          <w:szCs w:val="22"/>
        </w:rPr>
        <w:t xml:space="preserve">Requirement coverage: </w:t>
      </w:r>
      <w:r>
        <w:rPr>
          <w:rFonts w:ascii="Arial" w:cs="Arial" w:eastAsia="Arial" w:hAnsi="Arial"/>
          <w:color w:val="595959"/>
          <w:sz w:val="22"/>
          <w:szCs w:val="22"/>
        </w:rPr>
        <w:t xml:space="preserve">Every SWR in the requirements specification is verified by at least one named test (see Traceability Matrix)</w:t>
      </w:r>
    </w:p>
    <w:p>
      <w:pPr>
        <w:pStyle w:val="ListParagraph"/>
        <w:numPr>
          <w:ilvl w:val="0"/>
          <w:numId w:val="2"/>
        </w:numPr>
        <w:spacing w:after="80" w:line="276"/>
      </w:pPr>
      <w:r>
        <w:rPr>
          <w:rFonts w:ascii="Arial" w:cs="Arial" w:eastAsia="Arial" w:hAnsi="Arial"/>
          <w:b/>
          <w:bCs/>
          <w:color w:val="595959"/>
          <w:sz w:val="22"/>
          <w:szCs w:val="22"/>
        </w:rPr>
        <w:t xml:space="preserve">Zero warning policy: </w:t>
      </w:r>
      <w:r>
        <w:rPr>
          <w:rFonts w:ascii="Arial" w:cs="Arial" w:eastAsia="Arial" w:hAnsi="Arial"/>
          <w:color w:val="595959"/>
          <w:sz w:val="22"/>
          <w:szCs w:val="22"/>
        </w:rPr>
        <w:t xml:space="preserve">The test suite compiles with zero Rust warnings</w:t>
      </w:r>
    </w:p>
    <w:p>
      <w:pPr>
        <w:pStyle w:val="Heading1"/>
      </w:pPr>
      <w:r>
        <w:t xml:space="preserve">Running the Test Suite</w:t>
      </w:r>
    </w:p>
    <w:p>
      <w:pPr>
        <w:spacing w:after="160" w:line="276"/>
      </w:pPr>
      <w:r>
        <w:rPr>
          <w:rFonts w:ascii="Arial" w:cs="Arial" w:eastAsia="Arial" w:hAnsi="Arial"/>
          <w:color w:val="595959"/>
          <w:sz w:val="22"/>
          <w:szCs w:val="22"/>
        </w:rPr>
        <w:t xml:space="preserve">All tests are run with a single command:</w:t>
      </w:r>
    </w:p>
    <w:p>
      <w:pPr>
        <w:spacing w:after="160" w:line="276"/>
      </w:pPr>
      <w:r>
        <w:rPr>
          <w:rFonts w:ascii="Arial" w:cs="Arial" w:eastAsia="Arial" w:hAnsi="Arial"/>
          <w:b/>
          <w:bCs/>
          <w:color w:val="595959"/>
          <w:sz w:val="24"/>
          <w:szCs w:val="24"/>
        </w:rPr>
        <w:t xml:space="preserve">cargo test</w:t>
      </w:r>
    </w:p>
    <w:p>
      <w:pPr>
        <w:spacing w:after="160" w:line="276"/>
      </w:pPr>
      <w:r>
        <w:rPr>
          <w:rFonts w:ascii="Arial" w:cs="Arial" w:eastAsia="Arial" w:hAnsi="Arial"/>
          <w:color w:val="595959"/>
          <w:sz w:val="22"/>
          <w:szCs w:val="22"/>
        </w:rPr>
        <w:t xml:space="preserve">No environment variables, no test fixtures, no external services. The test suite is fully self-contained -- it creates temporary directories, operates on them, and cleans up. This mirrors the Anvil philosophy: the tool should just work.</w:t>
      </w:r>
    </w:p>
    <w:p>
      <w:pPr>
        <w:spacing w:before="300"/>
      </w:pPr>
    </w:p>
    <w:p>
      <w:pPr>
        <w:pBdr>
          <w:bottom w:val="single" w:color="2E75B6" w:sz="6" w:space="8"/>
        </w:pBdr>
        <w:spacing w:before="200" w:after="200"/>
      </w:pPr>
    </w:p>
    <w:p>
      <w:pPr>
        <w:spacing w:after="160" w:line="276"/>
      </w:pPr>
      <w:r>
        <w:rPr>
          <w:rFonts w:ascii="Arial" w:cs="Arial" w:eastAsia="Arial" w:hAnsi="Arial"/>
          <w:color w:val="A6A6A6"/>
          <w:sz w:val="22"/>
          <w:szCs w:val="22"/>
        </w:rPr>
        <w:t xml:space="preserve">Test names are the primary documentation. </w:t>
      </w:r>
      <w:r>
        <w:rPr>
          <w:rFonts w:ascii="Arial" w:cs="Arial" w:eastAsia="Arial" w:hAnsi="Arial"/>
          <w:color w:val="A6A6A6"/>
          <w:sz w:val="22"/>
          <w:szCs w:val="22"/>
        </w:rPr>
        <w:t xml:space="preserve">Each test name describes a scenario and expected outcome. The Traceability Matrix provides the mapping from requirements to specific test names.</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right"/>
    </w:pPr>
    <w:r>
      <w:rPr>
        <w:rFonts w:ascii="Arial" w:cs="Arial" w:eastAsia="Arial" w:hAnsi="Arial"/>
        <w:color w:val="A6A6A6"/>
        <w:sz w:val="18"/>
        <w:szCs w:val="18"/>
      </w:rPr>
      <w:t xml:space="preserve">Page </w:t>
    </w:r>
    <w:r>
      <w:rPr>
        <w:rFonts w:ascii="Arial" w:cs="Arial" w:eastAsia="Arial" w:hAnsi="Arial"/>
        <w:color w:val="A6A6A6"/>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4" w:space="4"/>
      </w:pBdr>
    </w:pPr>
    <w:r>
      <w:rPr>
        <w:rFonts w:ascii="Arial" w:cs="Arial" w:eastAsia="Arial" w:hAnsi="Arial"/>
        <w:color w:val="A6A6A6"/>
        <w:sz w:val="18"/>
        <w:szCs w:val="18"/>
      </w:rPr>
      <w:t xml:space="preserve">Anvil -- Test Strategy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F4E79"/>
      <w:sz w:val="36"/>
      <w:szCs w:val="36"/>
    </w:rPr>
  </w:style>
  <w:style w:type="paragraph" w:styleId="Heading2">
    <w:name w:val="Heading 2"/>
    <w:basedOn w:val="Normal"/>
    <w:next w:val="Normal"/>
    <w:qFormat/>
    <w:pPr>
      <w:spacing w:before="280" w:after="160"/>
      <w:outlineLvl w:val="1"/>
    </w:pPr>
    <w:rPr>
      <w:rFonts w:ascii="Arial" w:cs="Arial" w:eastAsia="Arial" w:hAnsi="Arial"/>
      <w:b/>
      <w:bCs/>
      <w:color w:val="2E75B6"/>
      <w:sz w:val="28"/>
      <w:szCs w:val="28"/>
    </w:rPr>
  </w:style>
  <w:style w:type="paragraph" w:styleId="Heading3">
    <w:name w:val="Heading 3"/>
    <w:basedOn w:val="Normal"/>
    <w:next w:val="Normal"/>
    <w:qFormat/>
    <w:pPr>
      <w:spacing w:before="200" w:after="120"/>
      <w:outlineLvl w:val="2"/>
    </w:pPr>
    <w:rPr>
      <w:rFonts w:ascii="Arial" w:cs="Arial" w:eastAsia="Arial" w:hAnsi="Arial"/>
      <w:b/>
      <w:bCs/>
      <w:color w:val="595959"/>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2026-02-22T04:03:35.367Z</dcterms:created>
  <dcterms:modified xsi:type="dcterms:W3CDTF">2026-02-22T04:03:35.368Z</dcterms:modified>
</cp:coreProperties>
</file>

<file path=docProps/custom.xml><?xml version="1.0" encoding="utf-8"?>
<Properties xmlns="http://schemas.openxmlformats.org/officeDocument/2006/custom-properties" xmlns:vt="http://schemas.openxmlformats.org/officeDocument/2006/docPropsVTypes"/>
</file>