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600"/>
      </w:pPr>
    </w:p>
    <w:p>
      <w:pPr>
        <w:jc w:val="center"/>
      </w:pPr>
      <w:r>
        <w:rPr>
          <w:rFonts w:ascii="Arial" w:cs="Arial" w:eastAsia="Arial" w:hAnsi="Arial"/>
          <w:b/>
          <w:bCs/>
          <w:color w:val="1F4E79"/>
          <w:sz w:val="72"/>
          <w:szCs w:val="72"/>
        </w:rPr>
        <w:t xml:space="preserve">ANVIL</w:t>
      </w:r>
    </w:p>
    <w:p>
      <w:pPr>
        <w:spacing w:after="400"/>
        <w:jc w:val="center"/>
      </w:pPr>
      <w:r>
        <w:rPr>
          <w:rFonts w:ascii="Arial" w:cs="Arial" w:eastAsia="Arial" w:hAnsi="Arial"/>
          <w:i/>
          <w:iCs/>
          <w:color w:val="2E75B6"/>
          <w:sz w:val="32"/>
          <w:szCs w:val="32"/>
        </w:rPr>
        <w:t xml:space="preserve">Forging Clean Embedded Projects</w:t>
      </w:r>
    </w:p>
    <w:p>
      <w:pPr>
        <w:pBdr>
          <w:bottom w:val="single" w:color="2E75B6" w:sz="6" w:space="8"/>
        </w:pBdr>
        <w:spacing w:before="200" w:after="200"/>
      </w:pPr>
    </w:p>
    <w:p>
      <w:pPr>
        <w:spacing w:after="80"/>
        <w:jc w:val="center"/>
      </w:pPr>
      <w:r>
        <w:rPr>
          <w:rFonts w:ascii="Arial" w:cs="Arial" w:eastAsia="Arial" w:hAnsi="Arial"/>
          <w:color w:val="595959"/>
          <w:sz w:val="28"/>
          <w:szCs w:val="28"/>
        </w:rPr>
        <w:t xml:space="preserve">Software Design Document</w:t>
      </w:r>
    </w:p>
    <w:p>
      <w:pPr>
        <w:spacing w:before="1200"/>
      </w:pPr>
    </w:p>
    <w:p>
      <w:pPr>
        <w:jc w:val="center"/>
      </w:pPr>
      <w:r>
        <w:rPr>
          <w:rFonts w:ascii="Arial" w:cs="Arial" w:eastAsia="Arial" w:hAnsi="Arial"/>
          <w:color w:val="595959"/>
          <w:sz w:val="24"/>
          <w:szCs w:val="24"/>
        </w:rPr>
        <w:t xml:space="preserve">Prepared by Eric Ratliff</w:t>
      </w:r>
    </w:p>
    <w:p>
      <w:pPr>
        <w:jc w:val="center"/>
      </w:pPr>
      <w:r>
        <w:rPr>
          <w:rFonts w:ascii="Arial" w:cs="Arial" w:eastAsia="Arial" w:hAnsi="Arial"/>
          <w:color w:val="A6A6A6"/>
          <w:sz w:val="22"/>
          <w:szCs w:val="22"/>
        </w:rPr>
        <w:t xml:space="preserve">Intrepid Fusion LLC / Nexus Workshops</w:t>
      </w:r>
    </w:p>
    <w:p>
      <w:pPr>
        <w:spacing w:before="200"/>
        <w:jc w:val="center"/>
      </w:pPr>
      <w:r>
        <w:rPr>
          <w:rFonts w:ascii="Arial" w:cs="Arial" w:eastAsia="Arial" w:hAnsi="Arial"/>
          <w:color w:val="A6A6A6"/>
          <w:sz w:val="22"/>
          <w:szCs w:val="22"/>
        </w:rPr>
        <w:t xml:space="preserve">February 2026</w:t>
      </w:r>
    </w:p>
    <w:p>
      <w:pPr>
        <w:sectPr>
          <w:pgSz w:w="12240" w:h="15840" w:orient="portrait"/>
          <w:pgMar w:top="1440" w:right="1440" w:bottom="1440" w:left="1440" w:header="708" w:footer="708" w:gutter="0"/>
          <w:pgNumType/>
          <w:docGrid w:linePitch="360"/>
        </w:sectPr>
      </w:pPr>
    </w:p>
    <w:p>
      <w:pPr>
        <w:pStyle w:val="Heading1"/>
      </w:pPr>
      <w:r>
        <w:t xml:space="preserve">Introduction</w:t>
      </w:r>
    </w:p>
    <w:p>
      <w:pPr>
        <w:spacing w:after="160" w:line="276"/>
      </w:pPr>
      <w:r>
        <w:rPr>
          <w:rFonts w:ascii="Arial" w:cs="Arial" w:eastAsia="Arial" w:hAnsi="Arial"/>
          <w:color w:val="595959"/>
          <w:sz w:val="22"/>
          <w:szCs w:val="22"/>
        </w:rPr>
        <w:t xml:space="preserve">This document describes the software architecture, module decomposition, and key design decisions for the Anvil Arduino project generator. Each decision is traced to the system requirements it satisfies and explained in terms of alternatives considered and rationale for the chosen approach.</w:t>
      </w:r>
    </w:p>
    <w:p>
      <w:pPr>
        <w:pStyle w:val="Heading2"/>
      </w:pPr>
      <w:r>
        <w:t xml:space="preserve">Architectural Overview</w:t>
      </w:r>
    </w:p>
    <w:p>
      <w:pPr>
        <w:spacing w:after="160" w:line="276"/>
      </w:pPr>
      <w:r>
        <w:rPr>
          <w:rFonts w:ascii="Arial" w:cs="Arial" w:eastAsia="Arial" w:hAnsi="Arial"/>
          <w:color w:val="595959"/>
          <w:sz w:val="22"/>
          <w:szCs w:val="22"/>
        </w:rPr>
        <w:t xml:space="preserve">Anvil is organized as a Rust CLI binary that operates on three internal layers and produces a self-contained C++/Arduino project directory as output. The binary is a code generator, not a runtime framework -- it creates files and exits. The generated project carries its own build system, test infrastructure, and configuration.</w:t>
      </w:r>
    </w:p>
    <w:p>
      <w:pPr>
        <w:spacing w:after="160" w:line="276"/>
      </w:pPr>
      <w:r>
        <w:rPr>
          <w:rFonts w:ascii="Arial" w:cs="Arial" w:eastAsia="Arial" w:hAnsi="Arial"/>
          <w:color w:val="595959"/>
          <w:sz w:val="22"/>
          <w:szCs w:val="22"/>
        </w:rPr>
        <w:t xml:space="preserve">The three internal layers are:</w:t>
      </w:r>
    </w:p>
    <w:p>
      <w:pPr>
        <w:pStyle w:val="ListParagraph"/>
        <w:numPr>
          <w:ilvl w:val="0"/>
          <w:numId w:val="2"/>
        </w:numPr>
        <w:spacing w:after="80" w:line="276"/>
      </w:pPr>
      <w:r>
        <w:rPr>
          <w:rFonts w:ascii="Arial" w:cs="Arial" w:eastAsia="Arial" w:hAnsi="Arial"/>
          <w:b/>
          <w:bCs/>
          <w:color w:val="595959"/>
          <w:sz w:val="22"/>
          <w:szCs w:val="22"/>
        </w:rPr>
        <w:t xml:space="preserve">Layer 1 -- Arduino Mock Environment. </w:t>
      </w:r>
      <w:r>
        <w:rPr>
          <w:rFonts w:ascii="Arial" w:cs="Arial" w:eastAsia="Arial" w:hAnsi="Arial"/>
          <w:color w:val="595959"/>
          <w:sz w:val="22"/>
          <w:szCs w:val="22"/>
        </w:rPr>
        <w:t xml:space="preserve">Provides shims for Arduino.h, Serial, Wire, and core types so that application code compiles on the host without Arduino hardware. (Satisfies SYS-003, SYS-004)</w:t>
      </w:r>
    </w:p>
    <w:p>
      <w:pPr>
        <w:pStyle w:val="ListParagraph"/>
        <w:numPr>
          <w:ilvl w:val="0"/>
          <w:numId w:val="2"/>
        </w:numPr>
        <w:spacing w:after="80" w:line="276"/>
      </w:pPr>
      <w:r>
        <w:rPr>
          <w:rFonts w:ascii="Arial" w:cs="Arial" w:eastAsia="Arial" w:hAnsi="Arial"/>
          <w:b/>
          <w:bCs/>
          <w:color w:val="595959"/>
          <w:sz w:val="22"/>
          <w:szCs w:val="22"/>
        </w:rPr>
        <w:t xml:space="preserve">Layer 2 -- Device Libraries. </w:t>
      </w:r>
      <w:r>
        <w:rPr>
          <w:rFonts w:ascii="Arial" w:cs="Arial" w:eastAsia="Arial" w:hAnsi="Arial"/>
          <w:color w:val="595959"/>
          <w:sz w:val="22"/>
          <w:szCs w:val="22"/>
        </w:rPr>
        <w:t xml:space="preserve">A registry of sensor/actuator drivers, each with a pure virtual interface, hardware implementation, Google Mock test double, and deterministic simulator. (Satisfies SYS-005)</w:t>
      </w:r>
    </w:p>
    <w:p>
      <w:pPr>
        <w:pStyle w:val="ListParagraph"/>
        <w:numPr>
          <w:ilvl w:val="0"/>
          <w:numId w:val="2"/>
        </w:numPr>
        <w:spacing w:after="80" w:line="276"/>
      </w:pPr>
      <w:r>
        <w:rPr>
          <w:rFonts w:ascii="Arial" w:cs="Arial" w:eastAsia="Arial" w:hAnsi="Arial"/>
          <w:b/>
          <w:bCs/>
          <w:color w:val="595959"/>
          <w:sz w:val="22"/>
          <w:szCs w:val="22"/>
        </w:rPr>
        <w:t xml:space="preserve">Layer 3 -- Templates as Pure Data. </w:t>
      </w:r>
      <w:r>
        <w:rPr>
          <w:rFonts w:ascii="Arial" w:cs="Arial" w:eastAsia="Arial" w:hAnsi="Arial"/>
          <w:color w:val="595959"/>
          <w:sz w:val="22"/>
          <w:szCs w:val="22"/>
        </w:rPr>
        <w:t xml:space="preserve">Composed templates declared via template.toml that overlay on the base scaffold. Adding a new template requires zero Rust code changes. (Satisfies SYS-001)</w:t>
      </w:r>
    </w:p>
    <w:p>
      <w:pPr>
        <w:pStyle w:val="Heading1"/>
      </w:pPr>
      <w:r>
        <w:t xml:space="preserve">Module Decomposition</w:t>
      </w:r>
    </w:p>
    <w:p>
      <w:pPr>
        <w:pStyle w:val="Heading2"/>
      </w:pPr>
      <w:r>
        <w:t xml:space="preserve">src/main.rs -- CLI Dispatcher</w:t>
      </w:r>
    </w:p>
    <w:p>
      <w:pPr>
        <w:spacing w:after="160" w:line="276"/>
      </w:pPr>
      <w:r>
        <w:rPr>
          <w:rFonts w:ascii="Arial" w:cs="Arial" w:eastAsia="Arial" w:hAnsi="Arial"/>
          <w:color w:val="595959"/>
          <w:sz w:val="22"/>
          <w:szCs w:val="22"/>
        </w:rPr>
        <w:t xml:space="preserve">Defines the clap-based command structure. Each subcommand (New, Doctor, Setup, Devices, Refresh, Board, Add, Remove, Lib, Pin) maps to a function in the commands module. This module contains no business logic -- it parses arguments and delegates. The architecture ensures that all functionality is accessible as library calls (for integration testing) as well as through the CLI.</w:t>
      </w:r>
    </w:p>
    <w:p>
      <w:pPr>
        <w:pStyle w:val="Heading2"/>
      </w:pPr>
      <w:r>
        <w:t xml:space="preserve">src/templates/ -- Template Engine</w:t>
      </w:r>
    </w:p>
    <w:p>
      <w:pPr>
        <w:spacing w:after="160" w:line="276"/>
      </w:pPr>
      <w:r>
        <w:rPr>
          <w:rFonts w:ascii="Arial" w:cs="Arial" w:eastAsia="Arial" w:hAnsi="Arial"/>
          <w:color w:val="595959"/>
          <w:sz w:val="22"/>
          <w:szCs w:val="22"/>
        </w:rPr>
        <w:t xml:space="preserve">The template engine has two responsibilities: extracting templates and discovering template metadata. Templates are stored as files embedded in the binary via </w:t>
      </w:r>
      <w:r>
        <w:rPr>
          <w:rFonts w:ascii="Arial" w:cs="Arial" w:eastAsia="Arial" w:hAnsi="Arial"/>
          <w:b/>
          <w:bCs/>
          <w:color w:val="595959"/>
          <w:sz w:val="22"/>
          <w:szCs w:val="22"/>
        </w:rPr>
        <w:t xml:space="preserve">include_dir!</w:t>
      </w:r>
      <w:r>
        <w:rPr>
          <w:rFonts w:ascii="Arial" w:cs="Arial" w:eastAsia="Arial" w:hAnsi="Arial"/>
          <w:color w:val="595959"/>
          <w:sz w:val="22"/>
          <w:szCs w:val="22"/>
        </w:rPr>
        <w:t xml:space="preserve">. Each template directory may contain a template.toml that declares composition (base template, required libraries, pin defaults).</w:t>
      </w:r>
    </w:p>
    <w:p>
      <w:pPr>
        <w:spacing w:after="160" w:line="276"/>
      </w:pPr>
      <w:r>
        <w:rPr>
          <w:rFonts w:ascii="Arial" w:cs="Arial" w:eastAsia="Arial" w:hAnsi="Arial"/>
          <w:b/>
          <w:bCs/>
          <w:color w:val="2E75B6"/>
          <w:sz w:val="22"/>
          <w:szCs w:val="22"/>
        </w:rPr>
        <w:t xml:space="preserve">Design Decision DD-01: Templates as embedded data, not plugins.</w:t>
      </w:r>
    </w:p>
    <w:p>
      <w:pPr>
        <w:spacing w:after="160" w:line="276"/>
      </w:pPr>
      <w:r>
        <w:rPr>
          <w:rFonts w:ascii="Arial" w:cs="Arial" w:eastAsia="Arial" w:hAnsi="Arial"/>
          <w:color w:val="595959"/>
          <w:sz w:val="22"/>
          <w:szCs w:val="22"/>
        </w:rPr>
        <w:t xml:space="preserve">Alternatives considered: (a) templates as external directories on disk, (b) templates as a plugin/scripting system, (c) templates as data baked into the binary. Option (a) creates a deployment problem -- the user must keep template files in a known location. Option (b) adds complexity disproportionate to the problem space. Option (c) means a single binary is the entire tool with zero runtime dependencies. This directly satisfies SYS-002 (self-contained output) and keeps the install story simple for students.</w:t>
      </w:r>
    </w:p>
    <w:p>
      <w:pPr>
        <w:spacing w:after="160" w:line="276"/>
      </w:pPr>
      <w:r>
        <w:rPr>
          <w:rFonts w:ascii="Arial" w:cs="Arial" w:eastAsia="Arial" w:hAnsi="Arial"/>
          <w:b/>
          <w:bCs/>
          <w:color w:val="2E75B6"/>
          <w:sz w:val="22"/>
          <w:szCs w:val="22"/>
        </w:rPr>
        <w:t xml:space="preserve">Design Decision DD-02: Composed templates via overlay, not inheritance.</w:t>
      </w:r>
    </w:p>
    <w:p>
      <w:pPr>
        <w:spacing w:after="160" w:line="276"/>
      </w:pPr>
      <w:r>
        <w:rPr>
          <w:rFonts w:ascii="Arial" w:cs="Arial" w:eastAsia="Arial" w:hAnsi="Arial"/>
          <w:color w:val="595959"/>
          <w:sz w:val="22"/>
          <w:szCs w:val="22"/>
        </w:rPr>
        <w:t xml:space="preserve">The weather template declares base = "basic" in template.toml. During extraction, the engine first extracts the full basic template, then overlays weather-specific files on top (replacing files at the same path). This is a flat overlay, not an inheritance chain. The reasoning: (a) overlays are easy to reason about -- if a file exists in the overlay, it wins, (b) there is no diamond problem, (c) a template author can see exactly what they are replacing by looking at the file paths. This satisfies SWR-001.2 and SWR-001.3.</w:t>
      </w:r>
    </w:p>
    <w:p>
      <w:pPr>
        <w:pStyle w:val="Heading2"/>
      </w:pPr>
      <w:r>
        <w:t xml:space="preserve">src/project/config.rs -- Configuration Management</w:t>
      </w:r>
    </w:p>
    <w:p>
      <w:pPr>
        <w:spacing w:after="160" w:line="276"/>
      </w:pPr>
      <w:r>
        <w:rPr>
          <w:rFonts w:ascii="Arial" w:cs="Arial" w:eastAsia="Arial" w:hAnsi="Arial"/>
          <w:color w:val="595959"/>
          <w:sz w:val="22"/>
          <w:szCs w:val="22"/>
        </w:rPr>
        <w:t xml:space="preserve">Manages .anvil.toml using the toml crate for deserialization and raw string manipulation for serialization. This dual approach preserves comments, ordering, and formatting in the TOML file -- a deliberate choice because students will read and hand-edit this file.</w:t>
      </w:r>
    </w:p>
    <w:p>
      <w:pPr>
        <w:spacing w:after="160" w:line="276"/>
      </w:pPr>
      <w:r>
        <w:rPr>
          <w:rFonts w:ascii="Arial" w:cs="Arial" w:eastAsia="Arial" w:hAnsi="Arial"/>
          <w:b/>
          <w:bCs/>
          <w:color w:val="2E75B6"/>
          <w:sz w:val="22"/>
          <w:szCs w:val="22"/>
        </w:rPr>
        <w:t xml:space="preserve">Design Decision DD-03: Comment-preserving TOML serialization.</w:t>
      </w:r>
    </w:p>
    <w:p>
      <w:pPr>
        <w:spacing w:after="160" w:line="276"/>
      </w:pPr>
      <w:r>
        <w:rPr>
          <w:rFonts w:ascii="Arial" w:cs="Arial" w:eastAsia="Arial" w:hAnsi="Arial"/>
          <w:color w:val="595959"/>
          <w:sz w:val="22"/>
          <w:szCs w:val="22"/>
        </w:rPr>
        <w:t xml:space="preserve">The toml crate's serializer rewrites the entire file, destroying comments and reordering sections. Since .anvil.toml is both machine-managed and human-edited, we use structured deserialization for reading but targeted string insertion/replacement for writing. This satisfies SWR-009.3 (round-trip fidelity) at the cost of more complex write logic.</w:t>
      </w:r>
    </w:p>
    <w:p>
      <w:pPr>
        <w:spacing w:after="160" w:line="276"/>
      </w:pPr>
      <w:r>
        <w:rPr>
          <w:rFonts w:ascii="Arial" w:cs="Arial" w:eastAsia="Arial" w:hAnsi="Arial"/>
          <w:b/>
          <w:bCs/>
          <w:color w:val="2E75B6"/>
          <w:sz w:val="22"/>
          <w:szCs w:val="22"/>
        </w:rPr>
        <w:t xml:space="preserve">Design Decision DD-04: Multi-board config with migration.</w:t>
      </w:r>
    </w:p>
    <w:p>
      <w:pPr>
        <w:spacing w:after="160" w:line="276"/>
      </w:pPr>
      <w:r>
        <w:rPr>
          <w:rFonts w:ascii="Arial" w:cs="Arial" w:eastAsia="Arial" w:hAnsi="Arial"/>
          <w:color w:val="595959"/>
          <w:sz w:val="22"/>
          <w:szCs w:val="22"/>
        </w:rPr>
        <w:t xml:space="preserve">Early versions stored a single FQBN in [build]. The multi-board design uses [boards.&lt;name&gt;] sections with a [build].default pointer. A migration function detects old configs and upgrades them in-place, matching the FQBN to a known preset name. This satisfies SYS-007 while maintaining backward compatibility (SWR-007.4).</w:t>
      </w:r>
    </w:p>
    <w:p>
      <w:pPr>
        <w:pStyle w:val="Heading2"/>
      </w:pPr>
      <w:r>
        <w:t xml:space="preserve">src/ignore.rs -- .anvilignore System</w:t>
      </w:r>
    </w:p>
    <w:p>
      <w:pPr>
        <w:spacing w:after="160" w:line="276"/>
      </w:pPr>
      <w:r>
        <w:rPr>
          <w:rFonts w:ascii="Arial" w:cs="Arial" w:eastAsia="Arial" w:hAnsi="Arial"/>
          <w:color w:val="595959"/>
          <w:sz w:val="22"/>
          <w:szCs w:val="22"/>
        </w:rPr>
        <w:t xml:space="preserve">Implements a gitignore-inspired pattern matching system. The AnvilIgnore struct loads patterns from .anvilignore, supports exact and glob matching (* and ?), and normalizes backslashes to forward slashes for cross-platform consistency.</w:t>
      </w:r>
    </w:p>
    <w:p>
      <w:pPr>
        <w:spacing w:after="160" w:line="276"/>
      </w:pPr>
      <w:r>
        <w:rPr>
          <w:rFonts w:ascii="Arial" w:cs="Arial" w:eastAsia="Arial" w:hAnsi="Arial"/>
          <w:b/>
          <w:bCs/>
          <w:color w:val="2E75B6"/>
          <w:sz w:val="22"/>
          <w:szCs w:val="22"/>
        </w:rPr>
        <w:t xml:space="preserve">Design Decision DD-05: .anvilignore as a user-editable file, not config metadata.</w:t>
      </w:r>
    </w:p>
    <w:p>
      <w:pPr>
        <w:spacing w:after="160" w:line="276"/>
      </w:pPr>
      <w:r>
        <w:rPr>
          <w:rFonts w:ascii="Arial" w:cs="Arial" w:eastAsia="Arial" w:hAnsi="Arial"/>
          <w:color w:val="595959"/>
          <w:sz w:val="22"/>
          <w:szCs w:val="22"/>
        </w:rPr>
        <w:t xml:space="preserve">Alternatives considered: (a) store ignore patterns in .anvil.toml under an [ignore] section, (b) use a separate .anvilignore file. Option (b) was chosen because: (a) it follows the .gitignore convention students already know, (b) it keeps the concern separate from build configuration, (c) the file itself can be placed in NEVER_REFRESH so it is impossible for refresh to overwrite its own protection rules. This satisfies SYS-008 and specifically SWR-008.8.</w:t>
      </w:r>
    </w:p>
    <w:p>
      <w:pPr>
        <w:spacing w:after="160" w:line="276"/>
      </w:pPr>
      <w:r>
        <w:rPr>
          <w:rFonts w:ascii="Arial" w:cs="Arial" w:eastAsia="Arial" w:hAnsi="Arial"/>
          <w:b/>
          <w:bCs/>
          <w:color w:val="2E75B6"/>
          <w:sz w:val="22"/>
          <w:szCs w:val="22"/>
        </w:rPr>
        <w:t xml:space="preserve">Design Decision DD-06: Missing files always recreated, even without --force.</w:t>
      </w:r>
    </w:p>
    <w:p>
      <w:pPr>
        <w:spacing w:after="160" w:line="276"/>
      </w:pPr>
      <w:r>
        <w:rPr>
          <w:rFonts w:ascii="Arial" w:cs="Arial" w:eastAsia="Arial" w:hAnsi="Arial"/>
          <w:color w:val="595959"/>
          <w:sz w:val="22"/>
          <w:szCs w:val="22"/>
        </w:rPr>
        <w:t xml:space="preserve">When a managed file is missing (deleted), it is unambiguous that the user needs it back -- there is no conflicting content to overwrite. Changed files require --force because there IS a conflict. This asymmetry makes the safe default more useful: a student who accidentally deletes a build script gets it back automatically on the next refresh, while a student who customized a file never loses their changes. This satisfies SWR-008.7.</w:t>
      </w:r>
    </w:p>
    <w:p>
      <w:pPr>
        <w:pStyle w:val="Heading2"/>
      </w:pPr>
      <w:r>
        <w:t xml:space="preserve">src/commands/refresh.rs -- Refresh Engine</w:t>
      </w:r>
    </w:p>
    <w:p>
      <w:pPr>
        <w:spacing w:after="160" w:line="276"/>
      </w:pPr>
      <w:r>
        <w:rPr>
          <w:rFonts w:ascii="Arial" w:cs="Arial" w:eastAsia="Arial" w:hAnsi="Arial"/>
          <w:color w:val="595959"/>
          <w:sz w:val="22"/>
          <w:szCs w:val="22"/>
        </w:rPr>
        <w:t xml:space="preserve">Discovers all template-produced files by extracting the project's template and libraries into a temporary directory, then performing byte-level comparison against the current project state. This dynamic discovery means no hardcoded file list exists -- when a template adds files, refresh automatically manages them.</w:t>
      </w:r>
    </w:p>
    <w:p>
      <w:pPr>
        <w:spacing w:after="160" w:line="276"/>
      </w:pPr>
      <w:r>
        <w:rPr>
          <w:rFonts w:ascii="Arial" w:cs="Arial" w:eastAsia="Arial" w:hAnsi="Arial"/>
          <w:b/>
          <w:bCs/>
          <w:color w:val="2E75B6"/>
          <w:sz w:val="22"/>
          <w:szCs w:val="22"/>
        </w:rPr>
        <w:t xml:space="preserve">Design Decision DD-07: Fresh extraction for every refresh, not content hashing.</w:t>
      </w:r>
    </w:p>
    <w:p>
      <w:pPr>
        <w:spacing w:after="160" w:line="276"/>
      </w:pPr>
      <w:r>
        <w:rPr>
          <w:rFonts w:ascii="Arial" w:cs="Arial" w:eastAsia="Arial" w:hAnsi="Arial"/>
          <w:color w:val="595959"/>
          <w:sz w:val="22"/>
          <w:szCs w:val="22"/>
        </w:rPr>
        <w:t xml:space="preserve">Alternatives considered: (a) store SHA-256 hashes of managed files at creation time and compare, (b) extract fresh copies and diff. Option (b) was chosen because: (a) it is immune to hash versioning problems -- if the template changes, the fresh extraction IS the new truth, (b) it works correctly even if the project was created by an older Anvil version, (c) it requires no stored metadata beyond the template name. The cost is a temporary directory and extraction on every refresh, which takes milliseconds.</w:t>
      </w:r>
    </w:p>
    <w:p>
      <w:pPr>
        <w:pStyle w:val="Heading2"/>
      </w:pPr>
      <w:r>
        <w:t xml:space="preserve">src/library/ -- Library Registry</w:t>
      </w:r>
    </w:p>
    <w:p>
      <w:pPr>
        <w:spacing w:after="160" w:line="276"/>
      </w:pPr>
      <w:r>
        <w:rPr>
          <w:rFonts w:ascii="Arial" w:cs="Arial" w:eastAsia="Arial" w:hAnsi="Arial"/>
          <w:color w:val="595959"/>
          <w:sz w:val="22"/>
          <w:szCs w:val="22"/>
        </w:rPr>
        <w:t xml:space="preserve">Libraries are embedded in the binary, each containing: an interface header (pure virtual class), a hardware implementation, a mock (Google Mock), a simulator (deterministic), a test file, and metadata (pin roles, default modes, wiring summary). The registry is a simple name lookup.</w:t>
      </w:r>
    </w:p>
    <w:p>
      <w:pPr>
        <w:spacing w:after="160" w:line="276"/>
      </w:pPr>
      <w:r>
        <w:rPr>
          <w:rFonts w:ascii="Arial" w:cs="Arial" w:eastAsia="Arial" w:hAnsi="Arial"/>
          <w:b/>
          <w:bCs/>
          <w:color w:val="2E75B6"/>
          <w:sz w:val="22"/>
          <w:szCs w:val="22"/>
        </w:rPr>
        <w:t xml:space="preserve">Design Decision DD-08: Interface/Impl/Mock/Sim quad as mandatory pattern.</w:t>
      </w:r>
    </w:p>
    <w:p>
      <w:pPr>
        <w:spacing w:after="160" w:line="276"/>
      </w:pPr>
      <w:r>
        <w:rPr>
          <w:rFonts w:ascii="Arial" w:cs="Arial" w:eastAsia="Arial" w:hAnsi="Arial"/>
          <w:color w:val="595959"/>
          <w:sz w:val="22"/>
          <w:szCs w:val="22"/>
        </w:rPr>
        <w:t xml:space="preserve">Every library MUST provide all four files. This is not a suggestion -- the architecture enforces it. The rationale is pedagogical: if a student installs a sensor library, they should be able to write both unit tests (mock) and system tests (sim) immediately. A library without test doubles would undermine the entire testing story. This satisfies SWR-005.1 and SWR-005.2.</w:t>
      </w:r>
    </w:p>
    <w:p>
      <w:pPr>
        <w:pStyle w:val="Heading2"/>
      </w:pPr>
      <w:r>
        <w:t xml:space="preserve">src/board/ -- Board Knowledge</w:t>
      </w:r>
    </w:p>
    <w:p>
      <w:pPr>
        <w:spacing w:after="160" w:line="276"/>
      </w:pPr>
      <w:r>
        <w:rPr>
          <w:rFonts w:ascii="Arial" w:cs="Arial" w:eastAsia="Arial" w:hAnsi="Arial"/>
          <w:color w:val="595959"/>
          <w:sz w:val="22"/>
          <w:szCs w:val="22"/>
        </w:rPr>
        <w:t xml:space="preserve">Three sub-modules: pinmap.rs (per-board pin definitions including capabilities, aliases, and bus assignments), presets.rs (friendly-name to FQBN mapping with default baud rates), and mod.rs (port detection via arduino-cli board list). Pin maps are compile-time data structures, not configuration files, because they represent fixed hardware facts.</w:t>
      </w:r>
    </w:p>
    <w:p>
      <w:pPr>
        <w:spacing w:after="160" w:line="276"/>
      </w:pPr>
      <w:r>
        <w:rPr>
          <w:rFonts w:ascii="Arial" w:cs="Arial" w:eastAsia="Arial" w:hAnsi="Arial"/>
          <w:b/>
          <w:bCs/>
          <w:color w:val="2E75B6"/>
          <w:sz w:val="22"/>
          <w:szCs w:val="22"/>
        </w:rPr>
        <w:t xml:space="preserve">Design Decision DD-09: Pin maps as compiled data, not config files.</w:t>
      </w:r>
    </w:p>
    <w:p>
      <w:pPr>
        <w:spacing w:after="160" w:line="276"/>
      </w:pPr>
      <w:r>
        <w:rPr>
          <w:rFonts w:ascii="Arial" w:cs="Arial" w:eastAsia="Arial" w:hAnsi="Arial"/>
          <w:color w:val="595959"/>
          <w:sz w:val="22"/>
          <w:szCs w:val="22"/>
        </w:rPr>
        <w:t xml:space="preserve">An Arduino Uno always has pins 0-19 with specific capabilities. This never changes at runtime. Embedding pin maps as Rust const data means: (a) they cannot become corrupted, (b) they are validated at compile time, (c) lookup is instant. The tradeoff is that supporting a new board requires a code change and recompile, which is acceptable because new Arduino boards are released infrequently and each requires careful capability mapping. This satisfies SWR-006.1.</w:t>
      </w:r>
    </w:p>
    <w:p>
      <w:pPr>
        <w:pStyle w:val="Heading2"/>
      </w:pPr>
      <w:r>
        <w:t xml:space="preserve">src/commands/pin.rs -- Pin Assignment Engine</w:t>
      </w:r>
    </w:p>
    <w:p>
      <w:pPr>
        <w:spacing w:after="160" w:line="276"/>
      </w:pPr>
      <w:r>
        <w:rPr>
          <w:rFonts w:ascii="Arial" w:cs="Arial" w:eastAsia="Arial" w:hAnsi="Arial"/>
          <w:color w:val="595959"/>
          <w:sz w:val="22"/>
          <w:szCs w:val="22"/>
        </w:rPr>
        <w:t xml:space="preserve">Handles pin assignment with multi-layer validation: name validation (no spaces, no reserved words), pin existence on target board, mode compatibility (analog pin for analog mode, PWM-capable pin for PWM mode), and bus protocol semantics (I2C pins are fixed, SPI requires user-specified CS). Assignments are stored per-board in .anvil.toml.</w:t>
      </w:r>
    </w:p>
    <w:p>
      <w:pPr>
        <w:pStyle w:val="Heading1"/>
      </w:pPr>
      <w:r>
        <w:t xml:space="preserve">Generated Project Architecture</w:t>
      </w:r>
    </w:p>
    <w:p>
      <w:pPr>
        <w:spacing w:after="160" w:line="276"/>
      </w:pPr>
      <w:r>
        <w:rPr>
          <w:rFonts w:ascii="Arial" w:cs="Arial" w:eastAsia="Arial" w:hAnsi="Arial"/>
          <w:color w:val="595959"/>
          <w:sz w:val="22"/>
          <w:szCs w:val="22"/>
        </w:rPr>
        <w:t xml:space="preserve">The output of anvil new is a directory with the following architectural layers:</w:t>
      </w:r>
    </w:p>
    <w:p>
      <w:pPr>
        <w:pStyle w:val="Heading2"/>
      </w:pPr>
      <w:r>
        <w:t xml:space="preserve">Sketch Layer (.ino)</w:t>
      </w:r>
    </w:p>
    <w:p>
      <w:pPr>
        <w:spacing w:after="160" w:line="276"/>
      </w:pPr>
      <w:r>
        <w:rPr>
          <w:rFonts w:ascii="Arial" w:cs="Arial" w:eastAsia="Arial" w:hAnsi="Arial"/>
          <w:color w:val="595959"/>
          <w:sz w:val="22"/>
          <w:szCs w:val="22"/>
        </w:rPr>
        <w:t xml:space="preserve">The thinnest possible shell. Creates the real HAL implementation (ArduinoHal), instantiates the application, and calls setup()/loop(). Contains no logic, no conditionals, no sensor code. This ensures the sketch is never the place where bugs hide.</w:t>
      </w:r>
    </w:p>
    <w:p>
      <w:pPr>
        <w:pStyle w:val="Heading2"/>
      </w:pPr>
      <w:r>
        <w:t xml:space="preserve">Application Layer (lib/app/)</w:t>
      </w:r>
    </w:p>
    <w:p>
      <w:pPr>
        <w:spacing w:after="160" w:line="276"/>
      </w:pPr>
      <w:r>
        <w:rPr>
          <w:rFonts w:ascii="Arial" w:cs="Arial" w:eastAsia="Arial" w:hAnsi="Arial"/>
          <w:color w:val="595959"/>
          <w:sz w:val="22"/>
          <w:szCs w:val="22"/>
        </w:rPr>
        <w:t xml:space="preserve">Contains all business logic. Depends only on the Hal interface via constructor injection. The application never includes Arduino.h, never calls digitalWrite() directly, never knows what board it runs on. This is the code the student writes, tests, and iterates on.</w:t>
      </w:r>
    </w:p>
    <w:p>
      <w:pPr>
        <w:spacing w:after="160" w:line="276"/>
      </w:pPr>
      <w:r>
        <w:rPr>
          <w:rFonts w:ascii="Arial" w:cs="Arial" w:eastAsia="Arial" w:hAnsi="Arial"/>
          <w:b/>
          <w:bCs/>
          <w:color w:val="2E75B6"/>
          <w:sz w:val="22"/>
          <w:szCs w:val="22"/>
        </w:rPr>
        <w:t xml:space="preserve">Design Decision DD-10: Constructor injection, not global singletons.</w:t>
      </w:r>
    </w:p>
    <w:p>
      <w:pPr>
        <w:spacing w:after="160" w:line="276"/>
      </w:pPr>
      <w:r>
        <w:rPr>
          <w:rFonts w:ascii="Arial" w:cs="Arial" w:eastAsia="Arial" w:hAnsi="Arial"/>
          <w:color w:val="595959"/>
          <w:sz w:val="22"/>
          <w:szCs w:val="22"/>
        </w:rPr>
        <w:t xml:space="preserve">The application receives a Hal&amp; reference in its constructor. This is the simplest form of dependency injection in C++. Alternatives (global HAL pointer, template parameterization, service locator) were rejected because constructor injection is: (a) visible -- the student sees the dependency in the constructor signature, (b) testable -- the test creates a mock and passes it in, (c) a pattern that transfers to professional C++ development.</w:t>
      </w:r>
    </w:p>
    <w:p>
      <w:pPr>
        <w:pStyle w:val="Heading2"/>
      </w:pPr>
      <w:r>
        <w:t xml:space="preserve">HAL Layer (lib/hal/)</w:t>
      </w:r>
    </w:p>
    <w:p>
      <w:pPr>
        <w:spacing w:after="160" w:line="276"/>
      </w:pPr>
      <w:r>
        <w:rPr>
          <w:rFonts w:ascii="Arial" w:cs="Arial" w:eastAsia="Arial" w:hAnsi="Arial"/>
          <w:color w:val="595959"/>
          <w:sz w:val="22"/>
          <w:szCs w:val="22"/>
        </w:rPr>
        <w:t xml:space="preserve">Pure virtual interface (hal.h) with two implementations. ArduinoHal (hal_arduino.h) forwards to real Arduino functions. The interface covers GPIO (digital/analog read/write), timing (millis/delay), serial (begin/print/read), and I2C (Wire operations). This is the minimum viable abstraction -- enough to be useful, not so large that it becomes a burden.</w:t>
      </w:r>
    </w:p>
    <w:p>
      <w:pPr>
        <w:pStyle w:val="Heading2"/>
      </w:pPr>
      <w:r>
        <w:t xml:space="preserve">Test Layer (test/)</w:t>
      </w:r>
    </w:p>
    <w:p>
      <w:pPr>
        <w:spacing w:after="160" w:line="276"/>
      </w:pPr>
      <w:r>
        <w:rPr>
          <w:rFonts w:ascii="Arial" w:cs="Arial" w:eastAsia="Arial" w:hAnsi="Arial"/>
          <w:color w:val="595959"/>
          <w:sz w:val="22"/>
          <w:szCs w:val="22"/>
        </w:rPr>
        <w:t xml:space="preserve">CMake-based build system that fetches Google Test, compiles application code against mock_arduino shims, and links test executables. Three test file categories:</w:t>
      </w:r>
    </w:p>
    <w:p>
      <w:pPr>
        <w:pStyle w:val="ListParagraph"/>
        <w:numPr>
          <w:ilvl w:val="0"/>
          <w:numId w:val="2"/>
        </w:numPr>
        <w:spacing w:after="80" w:line="276"/>
      </w:pPr>
      <w:r>
        <w:rPr>
          <w:rFonts w:ascii="Arial" w:cs="Arial" w:eastAsia="Arial" w:hAnsi="Arial"/>
          <w:b/>
          <w:bCs/>
          <w:color w:val="595959"/>
          <w:sz w:val="22"/>
          <w:szCs w:val="22"/>
        </w:rPr>
        <w:t xml:space="preserve">Managed example tests </w:t>
      </w:r>
      <w:r>
        <w:rPr>
          <w:rFonts w:ascii="Arial" w:cs="Arial" w:eastAsia="Arial" w:hAnsi="Arial"/>
          <w:color w:val="595959"/>
          <w:sz w:val="22"/>
          <w:szCs w:val="22"/>
        </w:rPr>
        <w:t xml:space="preserve">(test_&lt;template&gt;.cpp) -- written by Anvil, refreshable, demonstrate patterns.</w:t>
      </w:r>
    </w:p>
    <w:p>
      <w:pPr>
        <w:pStyle w:val="ListParagraph"/>
        <w:numPr>
          <w:ilvl w:val="0"/>
          <w:numId w:val="2"/>
        </w:numPr>
        <w:spacing w:after="80" w:line="276"/>
      </w:pPr>
      <w:r>
        <w:rPr>
          <w:rFonts w:ascii="Arial" w:cs="Arial" w:eastAsia="Arial" w:hAnsi="Arial"/>
          <w:b/>
          <w:bCs/>
          <w:color w:val="595959"/>
          <w:sz w:val="22"/>
          <w:szCs w:val="22"/>
        </w:rPr>
        <w:t xml:space="preserve">Student unit tests </w:t>
      </w:r>
      <w:r>
        <w:rPr>
          <w:rFonts w:ascii="Arial" w:cs="Arial" w:eastAsia="Arial" w:hAnsi="Arial"/>
          <w:color w:val="595959"/>
          <w:sz w:val="22"/>
          <w:szCs w:val="22"/>
        </w:rPr>
        <w:t xml:space="preserve">(test_unit.cpp) -- owned by student, protected by .anvilignore, use MockHal.</w:t>
      </w:r>
    </w:p>
    <w:p>
      <w:pPr>
        <w:pStyle w:val="ListParagraph"/>
        <w:numPr>
          <w:ilvl w:val="0"/>
          <w:numId w:val="2"/>
        </w:numPr>
        <w:spacing w:after="80" w:line="276"/>
      </w:pPr>
      <w:r>
        <w:rPr>
          <w:rFonts w:ascii="Arial" w:cs="Arial" w:eastAsia="Arial" w:hAnsi="Arial"/>
          <w:b/>
          <w:bCs/>
          <w:color w:val="595959"/>
          <w:sz w:val="22"/>
          <w:szCs w:val="22"/>
        </w:rPr>
        <w:t xml:space="preserve">Student system tests </w:t>
      </w:r>
      <w:r>
        <w:rPr>
          <w:rFonts w:ascii="Arial" w:cs="Arial" w:eastAsia="Arial" w:hAnsi="Arial"/>
          <w:color w:val="595959"/>
          <w:sz w:val="22"/>
          <w:szCs w:val="22"/>
        </w:rPr>
        <w:t xml:space="preserve">(test_system.cpp) -- owned by student, protected by .anvilignore, use SimHal.</w:t>
      </w:r>
    </w:p>
    <w:p>
      <w:pPr>
        <w:pStyle w:val="Heading2"/>
      </w:pPr>
      <w:r>
        <w:t xml:space="preserve">Script Layer (root)</w:t>
      </w:r>
    </w:p>
    <w:p>
      <w:pPr>
        <w:spacing w:after="160" w:line="276"/>
      </w:pPr>
      <w:r>
        <w:rPr>
          <w:rFonts w:ascii="Arial" w:cs="Arial" w:eastAsia="Arial" w:hAnsi="Arial"/>
          <w:color w:val="595959"/>
          <w:sz w:val="22"/>
          <w:szCs w:val="22"/>
        </w:rPr>
        <w:t xml:space="preserve">Five script pairs (.sh + .bat): build, upload, monitor, test, and detect_port. Each reads .anvil.toml for settings and .anvil.local for port. Scripts check prerequisites, give actionable errors, and auto-detect the Arduino board via VID:PID matching.</w:t>
      </w:r>
    </w:p>
    <w:p>
      <w:pPr>
        <w:spacing w:after="160" w:line="276"/>
      </w:pPr>
      <w:r>
        <w:rPr>
          <w:rFonts w:ascii="Arial" w:cs="Arial" w:eastAsia="Arial" w:hAnsi="Arial"/>
          <w:b/>
          <w:bCs/>
          <w:color w:val="2E75B6"/>
          <w:sz w:val="22"/>
          <w:szCs w:val="22"/>
        </w:rPr>
        <w:t xml:space="preserve">Design Decision DD-11: Dual scripts (.sh + .bat), not a cross-platform runner.</w:t>
      </w:r>
    </w:p>
    <w:p>
      <w:pPr>
        <w:spacing w:after="160" w:line="276"/>
      </w:pPr>
      <w:r>
        <w:rPr>
          <w:rFonts w:ascii="Arial" w:cs="Arial" w:eastAsia="Arial" w:hAnsi="Arial"/>
          <w:color w:val="595959"/>
          <w:sz w:val="22"/>
          <w:szCs w:val="22"/>
        </w:rPr>
        <w:t xml:space="preserve">Alternatives considered: (a) a Python wrapper script, (b) a Makefile, (c) native shell scripts per platform. Python adds a dependency. Make works poorly on Windows. Native scripts mean the student can read, understand, and modify them in the language their OS speaks. Each script is under 160 lines with clear structure. This satisfies SWR-011.1 and keeps the generated project dependency-free (SYS-002).</w:t>
      </w:r>
    </w:p>
    <w:p>
      <w:pPr>
        <w:pStyle w:val="Heading1"/>
      </w:pPr>
      <w:r>
        <w:t xml:space="preserve">Data Flow</w:t>
      </w:r>
    </w:p>
    <w:p>
      <w:pPr>
        <w:pStyle w:val="Heading2"/>
      </w:pPr>
      <w:r>
        <w:t xml:space="preserve">Project Creation Flow</w:t>
      </w:r>
    </w:p>
    <w:p>
      <w:pPr>
        <w:spacing w:after="160" w:line="276"/>
      </w:pPr>
      <w:r>
        <w:rPr>
          <w:rFonts w:ascii="Arial" w:cs="Arial" w:eastAsia="Arial" w:hAnsi="Arial"/>
          <w:color w:val="595959"/>
          <w:sz w:val="22"/>
          <w:szCs w:val="22"/>
        </w:rPr>
        <w:t xml:space="preserve">anvil new --template weather --board uno:</w:t>
      </w:r>
    </w:p>
    <w:p>
      <w:pPr>
        <w:pStyle w:val="ListParagraph"/>
        <w:numPr>
          <w:ilvl w:val="0"/>
          <w:numId w:val="2"/>
        </w:numPr>
        <w:spacing w:after="80" w:line="276"/>
      </w:pPr>
      <w:r>
        <w:rPr>
          <w:rFonts w:ascii="Arial" w:cs="Arial" w:eastAsia="Arial" w:hAnsi="Arial"/>
          <w:color w:val="595959"/>
          <w:sz w:val="22"/>
          <w:szCs w:val="22"/>
        </w:rPr>
        <w:t xml:space="preserve">1. Validate project name (SWR-001.4)</w:t>
      </w:r>
    </w:p>
    <w:p>
      <w:pPr>
        <w:pStyle w:val="ListParagraph"/>
        <w:numPr>
          <w:ilvl w:val="1"/>
          <w:numId w:val="2"/>
        </w:numPr>
        <w:spacing w:after="80" w:line="276"/>
      </w:pPr>
      <w:r>
        <w:rPr>
          <w:rFonts w:ascii="Arial" w:cs="Arial" w:eastAsia="Arial" w:hAnsi="Arial"/>
          <w:color w:val="595959"/>
          <w:sz w:val="22"/>
          <w:szCs w:val="22"/>
        </w:rPr>
        <w:t xml:space="preserve">2. Resolve board preset to FQBN + baud (SWR-007.1)</w:t>
      </w:r>
    </w:p>
    <w:p>
      <w:pPr>
        <w:pStyle w:val="ListParagraph"/>
        <w:numPr>
          <w:ilvl w:val="1"/>
          <w:numId w:val="2"/>
        </w:numPr>
        <w:spacing w:after="80" w:line="276"/>
      </w:pPr>
      <w:r>
        <w:rPr>
          <w:rFonts w:ascii="Arial" w:cs="Arial" w:eastAsia="Arial" w:hAnsi="Arial"/>
          <w:color w:val="595959"/>
          <w:sz w:val="22"/>
          <w:szCs w:val="22"/>
        </w:rPr>
        <w:t xml:space="preserve">3. Extract base template (basic) with variable substitution (SWR-001.6)</w:t>
      </w:r>
    </w:p>
    <w:p>
      <w:pPr>
        <w:pStyle w:val="ListParagraph"/>
        <w:numPr>
          <w:ilvl w:val="1"/>
          <w:numId w:val="2"/>
        </w:numPr>
        <w:spacing w:after="80" w:line="276"/>
      </w:pPr>
      <w:r>
        <w:rPr>
          <w:rFonts w:ascii="Arial" w:cs="Arial" w:eastAsia="Arial" w:hAnsi="Arial"/>
          <w:color w:val="595959"/>
          <w:sz w:val="22"/>
          <w:szCs w:val="22"/>
        </w:rPr>
        <w:t xml:space="preserve">4. Read template.toml for weather overlay</w:t>
      </w:r>
    </w:p>
    <w:p>
      <w:pPr>
        <w:pStyle w:val="ListParagraph"/>
        <w:numPr>
          <w:ilvl w:val="1"/>
          <w:numId w:val="2"/>
        </w:numPr>
        <w:spacing w:after="80" w:line="276"/>
      </w:pPr>
      <w:r>
        <w:rPr>
          <w:rFonts w:ascii="Arial" w:cs="Arial" w:eastAsia="Arial" w:hAnsi="Arial"/>
          <w:color w:val="595959"/>
          <w:sz w:val="22"/>
          <w:szCs w:val="22"/>
        </w:rPr>
        <w:t xml:space="preserve">5. Extract weather overlay files, replacing matching paths (SWR-001.2)</w:t>
      </w:r>
    </w:p>
    <w:p>
      <w:pPr>
        <w:pStyle w:val="ListParagraph"/>
        <w:numPr>
          <w:ilvl w:val="1"/>
          <w:numId w:val="2"/>
        </w:numPr>
        <w:spacing w:after="80" w:line="276"/>
      </w:pPr>
      <w:r>
        <w:rPr>
          <w:rFonts w:ascii="Arial" w:cs="Arial" w:eastAsia="Arial" w:hAnsi="Arial"/>
          <w:color w:val="595959"/>
          <w:sz w:val="22"/>
          <w:szCs w:val="22"/>
        </w:rPr>
        <w:t xml:space="preserve">6. Install required libraries (tmp36) with all four files (SWR-005.3)</w:t>
      </w:r>
    </w:p>
    <w:p>
      <w:pPr>
        <w:pStyle w:val="ListParagraph"/>
        <w:numPr>
          <w:ilvl w:val="1"/>
          <w:numId w:val="2"/>
        </w:numPr>
        <w:spacing w:after="80" w:line="276"/>
      </w:pPr>
      <w:r>
        <w:rPr>
          <w:rFonts w:ascii="Arial" w:cs="Arial" w:eastAsia="Arial" w:hAnsi="Arial"/>
          <w:color w:val="595959"/>
          <w:sz w:val="22"/>
          <w:szCs w:val="22"/>
        </w:rPr>
        <w:t xml:space="preserve">7. Assign default pins from template.toml (SWR-006.2)</w:t>
      </w:r>
    </w:p>
    <w:p>
      <w:pPr>
        <w:pStyle w:val="ListParagraph"/>
        <w:numPr>
          <w:ilvl w:val="1"/>
          <w:numId w:val="2"/>
        </w:numPr>
        <w:spacing w:after="80" w:line="276"/>
      </w:pPr>
      <w:r>
        <w:rPr>
          <w:rFonts w:ascii="Arial" w:cs="Arial" w:eastAsia="Arial" w:hAnsi="Arial"/>
          <w:color w:val="595959"/>
          <w:sz w:val="22"/>
          <w:szCs w:val="22"/>
        </w:rPr>
        <w:t xml:space="preserve">8. Generate .anvilignore with default protections (SWR-008.4)</w:t>
      </w:r>
    </w:p>
    <w:p>
      <w:pPr>
        <w:pStyle w:val="ListParagraph"/>
        <w:numPr>
          <w:ilvl w:val="1"/>
          <w:numId w:val="2"/>
        </w:numPr>
        <w:spacing w:after="80" w:line="276"/>
      </w:pPr>
      <w:r>
        <w:rPr>
          <w:rFonts w:ascii="Arial" w:cs="Arial" w:eastAsia="Arial" w:hAnsi="Arial"/>
          <w:color w:val="595959"/>
          <w:sz w:val="22"/>
          <w:szCs w:val="22"/>
        </w:rPr>
        <w:t xml:space="preserve">9. Write .anvil.toml with template name, board, libraries (SWR-009.1)</w:t>
      </w:r>
    </w:p>
    <w:p>
      <w:pPr>
        <w:pStyle w:val="Heading2"/>
      </w:pPr>
      <w:r>
        <w:t xml:space="preserve">Refresh Flow</w:t>
      </w:r>
    </w:p>
    <w:p>
      <w:pPr>
        <w:spacing w:after="160" w:line="276"/>
      </w:pPr>
      <w:r>
        <w:rPr>
          <w:rFonts w:ascii="Arial" w:cs="Arial" w:eastAsia="Arial" w:hAnsi="Arial"/>
          <w:color w:val="595959"/>
          <w:sz w:val="22"/>
          <w:szCs w:val="22"/>
        </w:rPr>
        <w:t xml:space="preserve">anvil refresh --force:</w:t>
      </w:r>
    </w:p>
    <w:p>
      <w:pPr>
        <w:pStyle w:val="ListParagraph"/>
        <w:numPr>
          <w:ilvl w:val="0"/>
          <w:numId w:val="2"/>
        </w:numPr>
        <w:spacing w:after="80" w:line="276"/>
      </w:pPr>
      <w:r>
        <w:rPr>
          <w:rFonts w:ascii="Arial" w:cs="Arial" w:eastAsia="Arial" w:hAnsi="Arial"/>
          <w:color w:val="595959"/>
          <w:sz w:val="22"/>
          <w:szCs w:val="22"/>
        </w:rPr>
        <w:t xml:space="preserve">1. Load .anvil.toml, read template name (SWR-008.9)</w:t>
      </w:r>
    </w:p>
    <w:p>
      <w:pPr>
        <w:pStyle w:val="ListParagraph"/>
        <w:numPr>
          <w:ilvl w:val="1"/>
          <w:numId w:val="2"/>
        </w:numPr>
        <w:spacing w:after="80" w:line="276"/>
      </w:pPr>
      <w:r>
        <w:rPr>
          <w:rFonts w:ascii="Arial" w:cs="Arial" w:eastAsia="Arial" w:hAnsi="Arial"/>
          <w:color w:val="595959"/>
          <w:sz w:val="22"/>
          <w:szCs w:val="22"/>
        </w:rPr>
        <w:t xml:space="preserve">2. Extract template + libraries into temp directory</w:t>
      </w:r>
    </w:p>
    <w:p>
      <w:pPr>
        <w:pStyle w:val="ListParagraph"/>
        <w:numPr>
          <w:ilvl w:val="1"/>
          <w:numId w:val="2"/>
        </w:numPr>
        <w:spacing w:after="80" w:line="276"/>
      </w:pPr>
      <w:r>
        <w:rPr>
          <w:rFonts w:ascii="Arial" w:cs="Arial" w:eastAsia="Arial" w:hAnsi="Arial"/>
          <w:color w:val="595959"/>
          <w:sz w:val="22"/>
          <w:szCs w:val="22"/>
        </w:rPr>
        <w:t xml:space="preserve">3. Walk temp directory, build list of expected files</w:t>
      </w:r>
    </w:p>
    <w:p>
      <w:pPr>
        <w:pStyle w:val="ListParagraph"/>
        <w:numPr>
          <w:ilvl w:val="1"/>
          <w:numId w:val="2"/>
        </w:numPr>
        <w:spacing w:after="80" w:line="276"/>
      </w:pPr>
      <w:r>
        <w:rPr>
          <w:rFonts w:ascii="Arial" w:cs="Arial" w:eastAsia="Arial" w:hAnsi="Arial"/>
          <w:color w:val="595959"/>
          <w:sz w:val="22"/>
          <w:szCs w:val="22"/>
        </w:rPr>
        <w:t xml:space="preserve">4. Load .anvilignore patterns (SWR-008.3)</w:t>
      </w:r>
    </w:p>
    <w:p>
      <w:pPr>
        <w:pStyle w:val="ListParagraph"/>
        <w:numPr>
          <w:ilvl w:val="1"/>
          <w:numId w:val="2"/>
        </w:numPr>
        <w:spacing w:after="80" w:line="276"/>
      </w:pPr>
      <w:r>
        <w:rPr>
          <w:rFonts w:ascii="Arial" w:cs="Arial" w:eastAsia="Arial" w:hAnsi="Arial"/>
          <w:color w:val="595959"/>
          <w:sz w:val="22"/>
          <w:szCs w:val="22"/>
        </w:rPr>
        <w:t xml:space="preserve">5. For each expected file: compare with project, classify as missing/changed/current</w:t>
      </w:r>
    </w:p>
    <w:p>
      <w:pPr>
        <w:pStyle w:val="ListParagraph"/>
        <w:numPr>
          <w:ilvl w:val="1"/>
          <w:numId w:val="2"/>
        </w:numPr>
        <w:spacing w:after="80" w:line="276"/>
      </w:pPr>
      <w:r>
        <w:rPr>
          <w:rFonts w:ascii="Arial" w:cs="Arial" w:eastAsia="Arial" w:hAnsi="Arial"/>
          <w:color w:val="595959"/>
          <w:sz w:val="22"/>
          <w:szCs w:val="22"/>
        </w:rPr>
        <w:t xml:space="preserve">6. Create missing files unconditionally (SWR-008.7)</w:t>
      </w:r>
    </w:p>
    <w:p>
      <w:pPr>
        <w:pStyle w:val="ListParagraph"/>
        <w:numPr>
          <w:ilvl w:val="1"/>
          <w:numId w:val="2"/>
        </w:numPr>
        <w:spacing w:after="80" w:line="276"/>
      </w:pPr>
      <w:r>
        <w:rPr>
          <w:rFonts w:ascii="Arial" w:cs="Arial" w:eastAsia="Arial" w:hAnsi="Arial"/>
          <w:color w:val="595959"/>
          <w:sz w:val="22"/>
          <w:szCs w:val="22"/>
        </w:rPr>
        <w:t xml:space="preserve">7. For changed files: if ignored, report and skip; if managed, overwrite (SWR-008.2)</w:t>
      </w:r>
    </w:p>
    <w:p>
      <w:pPr>
        <w:pStyle w:val="ListParagraph"/>
        <w:numPr>
          <w:ilvl w:val="1"/>
          <w:numId w:val="2"/>
        </w:numPr>
        <w:spacing w:after="80" w:line="276"/>
      </w:pPr>
      <w:r>
        <w:rPr>
          <w:rFonts w:ascii="Arial" w:cs="Arial" w:eastAsia="Arial" w:hAnsi="Arial"/>
          <w:color w:val="595959"/>
          <w:sz w:val="22"/>
          <w:szCs w:val="22"/>
        </w:rPr>
        <w:t xml:space="preserve">8. If --file specified, override ignore for that one path (SWR-008.5)</w:t>
      </w:r>
    </w:p>
    <w:p>
      <w:pPr>
        <w:pStyle w:val="Heading1"/>
      </w:pPr>
      <w:r>
        <w:t xml:space="preserve">Design Decision Summary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00"/>
        <w:gridCol w:w="4060"/>
        <w:gridCol w:w="2200"/>
        <w:gridCol w:w="2200"/>
      </w:tblGrid>
      <w:tr>
        <w:tc>
          <w:tcPr>
            <w:tcW w:type="dxa" w:w="9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ID</w:t>
            </w:r>
          </w:p>
        </w:tc>
        <w:tc>
          <w:tcPr>
            <w:tcW w:type="dxa" w:w="406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Decision</w:t>
            </w:r>
          </w:p>
        </w:tc>
        <w:tc>
          <w:tcPr>
            <w:tcW w:type="dxa" w:w="22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Satisfies</w:t>
            </w:r>
          </w:p>
        </w:tc>
        <w:tc>
          <w:tcPr>
            <w:tcW w:type="dxa" w:w="22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Key Tradeoff</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DD-01</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Templates embedded in binary</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SYS-002</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Single binary vs. external files</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DD-02</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Composed templates via overlay</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SWR-001.2, 001.3</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Simplicity vs. inheritance</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DD-03</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Comment-preserving TOML write</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SWR-009.3</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Write complexity vs. fidelity</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DD-04</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Multi-board with migration</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SYS-007, SWR-007.4</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Backward compat vs. clean break</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DD-05</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.anvilignore as separate file</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SYS-008, SWR-008.8</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Convention vs. consolidation</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DD-06</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Missing files auto-recreated</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SWR-008.7</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Implicit action vs. explicit only</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DD-07</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Fresh extraction, not hashing</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SWR-008.1</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Temp dir cost vs. hash versioning</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DD-08</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Mandatory interface/mock/sim quad</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SWR-005.1, 005.2</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Constraint vs. flexibility</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DD-09</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Pin maps as compiled data</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SWR-006.1</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Recompile for new boards vs. config</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DD-10</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Constructor injection for HAL</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SYS-003, SWR-003.5</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Visibility vs. convenience</w:t>
            </w:r>
          </w:p>
        </w:tc>
      </w:tr>
      <w:tr>
        <w:tc>
          <w:tcPr>
            <w:tcW w:type="dxa" w:w="9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DD-11</w:t>
            </w:r>
          </w:p>
        </w:tc>
        <w:tc>
          <w:tcPr>
            <w:tcW w:type="dxa" w:w="40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Dual .sh/.bat scripts</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SWR-011.1, SYS-002</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Duplication vs. no dependencies</w:t>
            </w:r>
          </w:p>
        </w:tc>
      </w:tr>
    </w:tbl>
    <w:p>
      <w:pPr>
        <w:spacing w:before="300"/>
      </w:pPr>
    </w:p>
    <w:p>
      <w:pPr>
        <w:pBdr>
          <w:bottom w:val="single" w:color="2E75B6" w:sz="6" w:space="8"/>
        </w:pBdr>
        <w:spacing w:before="200" w:after="200"/>
      </w:pPr>
    </w:p>
    <w:p>
      <w:pPr>
        <w:spacing w:after="160" w:line="276"/>
      </w:pPr>
      <w:r>
        <w:rPr>
          <w:rFonts w:ascii="Arial" w:cs="Arial" w:eastAsia="Arial" w:hAnsi="Arial"/>
          <w:color w:val="A6A6A6"/>
          <w:sz w:val="22"/>
          <w:szCs w:val="22"/>
        </w:rPr>
        <w:t xml:space="preserve">This document is maintained alongside the Anvil source code. </w:t>
      </w:r>
      <w:r>
        <w:rPr>
          <w:rFonts w:ascii="Arial" w:cs="Arial" w:eastAsia="Arial" w:hAnsi="Arial"/>
          <w:color w:val="A6A6A6"/>
          <w:sz w:val="22"/>
          <w:szCs w:val="22"/>
        </w:rPr>
        <w:t xml:space="preserve">Design decisions are numbered sequentially as DD-xx and referenced by the Traceability Matrix.</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right"/>
    </w:pPr>
    <w:r>
      <w:rPr>
        <w:rFonts w:ascii="Arial" w:cs="Arial" w:eastAsia="Arial" w:hAnsi="Arial"/>
        <w:color w:val="A6A6A6"/>
        <w:sz w:val="18"/>
        <w:szCs w:val="18"/>
      </w:rPr>
      <w:t xml:space="preserve">Page </w:t>
    </w:r>
    <w:r>
      <w:rPr>
        <w:rFonts w:ascii="Arial" w:cs="Arial" w:eastAsia="Arial" w:hAnsi="Arial"/>
        <w:color w:val="A6A6A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4"/>
      </w:pBdr>
    </w:pPr>
    <w:r>
      <w:rPr>
        <w:rFonts w:ascii="Arial" w:cs="Arial" w:eastAsia="Arial" w:hAnsi="Arial"/>
        <w:color w:val="A6A6A6"/>
        <w:sz w:val="18"/>
        <w:szCs w:val="18"/>
      </w:rPr>
      <w:t xml:space="preserve">Anvil -- Software Design Document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595959"/>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2026-02-22T04:03:35.185Z</dcterms:created>
  <dcterms:modified xsi:type="dcterms:W3CDTF">2026-02-22T04:03:35.186Z</dcterms:modified>
</cp:coreProperties>
</file>

<file path=docProps/custom.xml><?xml version="1.0" encoding="utf-8"?>
<Properties xmlns="http://schemas.openxmlformats.org/officeDocument/2006/custom-properties" xmlns:vt="http://schemas.openxmlformats.org/officeDocument/2006/docPropsVTypes"/>
</file>